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6A4" w:rsidRDefault="00F74681" w:rsidP="000717E4">
      <w:pPr>
        <w:spacing w:line="360" w:lineRule="auto"/>
        <w:jc w:val="center"/>
        <w:rPr>
          <w:rFonts w:asciiTheme="majorHAnsi" w:hAnsiTheme="majorHAnsi"/>
          <w:b/>
        </w:rPr>
      </w:pPr>
      <w:r w:rsidRPr="000717E4">
        <w:rPr>
          <w:rFonts w:asciiTheme="majorHAnsi" w:hAnsiTheme="majorHAnsi"/>
          <w:b/>
        </w:rPr>
        <w:t xml:space="preserve">Temporal </w:t>
      </w:r>
      <w:r w:rsidR="00AA1E33" w:rsidRPr="000717E4">
        <w:rPr>
          <w:rFonts w:asciiTheme="majorHAnsi" w:hAnsiTheme="majorHAnsi"/>
          <w:b/>
        </w:rPr>
        <w:t>Climate Analogues</w:t>
      </w:r>
      <w:r w:rsidRPr="000717E4">
        <w:rPr>
          <w:rFonts w:asciiTheme="majorHAnsi" w:hAnsiTheme="majorHAnsi"/>
          <w:b/>
        </w:rPr>
        <w:t xml:space="preserve"> in</w:t>
      </w:r>
      <w:r w:rsidR="000717E4">
        <w:rPr>
          <w:rFonts w:asciiTheme="majorHAnsi" w:hAnsiTheme="majorHAnsi"/>
          <w:b/>
        </w:rPr>
        <w:t xml:space="preserve"> the</w:t>
      </w:r>
      <w:r w:rsidRPr="000717E4">
        <w:rPr>
          <w:rFonts w:asciiTheme="majorHAnsi" w:hAnsiTheme="majorHAnsi"/>
          <w:b/>
        </w:rPr>
        <w:t xml:space="preserve"> Central Slopes Cluster</w:t>
      </w:r>
    </w:p>
    <w:p w:rsidR="00AC7DEF" w:rsidRPr="00690C54" w:rsidRDefault="00AC7DEF" w:rsidP="000717E4">
      <w:pPr>
        <w:spacing w:line="360" w:lineRule="auto"/>
        <w:jc w:val="both"/>
        <w:rPr>
          <w:rFonts w:asciiTheme="majorHAnsi" w:hAnsiTheme="majorHAnsi"/>
          <w:b/>
        </w:rPr>
      </w:pPr>
      <w:r w:rsidRPr="00690C54">
        <w:rPr>
          <w:rFonts w:asciiTheme="majorHAnsi" w:hAnsiTheme="majorHAnsi"/>
          <w:b/>
        </w:rPr>
        <w:t>Summary</w:t>
      </w:r>
    </w:p>
    <w:p w:rsidR="00AC7DEF" w:rsidRDefault="00AC7DEF" w:rsidP="000717E4">
      <w:pPr>
        <w:spacing w:line="360" w:lineRule="auto"/>
        <w:jc w:val="both"/>
      </w:pPr>
      <w:r>
        <w:t xml:space="preserve">In the attached folder there are data provided to help identify possible </w:t>
      </w:r>
      <w:r w:rsidR="00AB228B">
        <w:t>climate analogue years</w:t>
      </w:r>
      <w:r>
        <w:t xml:space="preserve"> for your region. The climate analogues are based on temperature and precipitation for annual, winter, and summer analogues. The following text helps explains the rationale behind such analyses, the data used, and an example is discussed to help with interpretation.    </w:t>
      </w:r>
    </w:p>
    <w:p w:rsidR="00A86A1F" w:rsidRPr="00AC7DEF" w:rsidRDefault="00A86A1F" w:rsidP="000717E4">
      <w:pPr>
        <w:spacing w:line="360" w:lineRule="auto"/>
        <w:jc w:val="both"/>
      </w:pPr>
    </w:p>
    <w:p w:rsidR="00C959D1" w:rsidRPr="00690C54" w:rsidRDefault="00C959D1" w:rsidP="000717E4">
      <w:pPr>
        <w:spacing w:line="360" w:lineRule="auto"/>
        <w:jc w:val="both"/>
        <w:rPr>
          <w:rFonts w:asciiTheme="majorHAnsi" w:hAnsiTheme="majorHAnsi"/>
          <w:b/>
        </w:rPr>
      </w:pPr>
      <w:r w:rsidRPr="00690C54">
        <w:rPr>
          <w:rFonts w:asciiTheme="majorHAnsi" w:hAnsiTheme="majorHAnsi"/>
          <w:b/>
        </w:rPr>
        <w:t>Climate analogues</w:t>
      </w:r>
      <w:r w:rsidR="00A86A1F" w:rsidRPr="00690C54">
        <w:rPr>
          <w:rFonts w:asciiTheme="majorHAnsi" w:hAnsiTheme="majorHAnsi"/>
          <w:b/>
        </w:rPr>
        <w:t xml:space="preserve"> </w:t>
      </w:r>
    </w:p>
    <w:p w:rsidR="00DE5FD6" w:rsidRPr="00A153C6" w:rsidRDefault="007548C7" w:rsidP="000717E4">
      <w:pPr>
        <w:spacing w:line="360" w:lineRule="auto"/>
        <w:jc w:val="both"/>
      </w:pPr>
      <w:r w:rsidRPr="00A153C6">
        <w:t xml:space="preserve">Future climate projections for Australia and the </w:t>
      </w:r>
      <w:r w:rsidR="002C363D" w:rsidRPr="00A153C6">
        <w:t>Central Slopes (</w:t>
      </w:r>
      <w:r w:rsidRPr="00A153C6">
        <w:t>CS</w:t>
      </w:r>
      <w:r w:rsidR="002C363D" w:rsidRPr="00A153C6">
        <w:t>)</w:t>
      </w:r>
      <w:r w:rsidRPr="00A153C6">
        <w:t xml:space="preserve"> region are produced primarily by General Circulation Models (GCMs) and </w:t>
      </w:r>
      <w:proofErr w:type="gramStart"/>
      <w:r w:rsidRPr="00A153C6">
        <w:t>downscaled</w:t>
      </w:r>
      <w:proofErr w:type="gramEnd"/>
      <w:r w:rsidRPr="00A153C6">
        <w:t xml:space="preserve"> GCMs.</w:t>
      </w:r>
      <w:r w:rsidR="001C34D4" w:rsidRPr="00A153C6">
        <w:t xml:space="preserve"> </w:t>
      </w:r>
      <w:r w:rsidRPr="00A153C6">
        <w:t xml:space="preserve"> A methodology that is complementary to these</w:t>
      </w:r>
      <w:r w:rsidR="006F5E5A" w:rsidRPr="00A153C6">
        <w:t>, and can be used to supplement the projections,</w:t>
      </w:r>
      <w:r w:rsidRPr="00A153C6">
        <w:t xml:space="preserve"> is th</w:t>
      </w:r>
      <w:r w:rsidR="00782C85" w:rsidRPr="00A153C6">
        <w:t>at of climate analogue analyses: a comparative approach to understanding and assessing the possible effects of climate change</w:t>
      </w:r>
      <w:r w:rsidR="00832F62" w:rsidRPr="00A153C6">
        <w:t xml:space="preserve"> (</w:t>
      </w:r>
      <w:proofErr w:type="spellStart"/>
      <w:r w:rsidR="00832F62" w:rsidRPr="00A153C6">
        <w:t>eg</w:t>
      </w:r>
      <w:proofErr w:type="spellEnd"/>
      <w:r w:rsidR="00832F62" w:rsidRPr="00A153C6">
        <w:t xml:space="preserve"> Williams et al 2007, </w:t>
      </w:r>
      <w:r w:rsidR="00832F62" w:rsidRPr="00A153C6">
        <w:rPr>
          <w:rFonts w:eastAsia="Times New Roman" w:cs="Times New Roman"/>
          <w:lang w:eastAsia="en-AU"/>
        </w:rPr>
        <w:t xml:space="preserve">Ford et al 2010; Hayman and Alexander </w:t>
      </w:r>
      <w:proofErr w:type="gramStart"/>
      <w:r w:rsidR="00832F62" w:rsidRPr="00A153C6">
        <w:rPr>
          <w:rFonts w:eastAsia="Times New Roman" w:cs="Times New Roman"/>
          <w:lang w:eastAsia="en-AU"/>
        </w:rPr>
        <w:t>2010 ;</w:t>
      </w:r>
      <w:proofErr w:type="gramEnd"/>
      <w:r w:rsidR="00832F62" w:rsidRPr="00A153C6">
        <w:rPr>
          <w:rFonts w:eastAsia="Times New Roman" w:cs="Times New Roman"/>
          <w:lang w:eastAsia="en-AU"/>
        </w:rPr>
        <w:t xml:space="preserve"> Wilby and </w:t>
      </w:r>
      <w:proofErr w:type="spellStart"/>
      <w:r w:rsidR="00832F62" w:rsidRPr="00A153C6">
        <w:rPr>
          <w:rFonts w:eastAsia="Times New Roman" w:cs="Times New Roman"/>
          <w:lang w:eastAsia="en-AU"/>
        </w:rPr>
        <w:t>Dessai</w:t>
      </w:r>
      <w:proofErr w:type="spellEnd"/>
      <w:r w:rsidR="00832F62" w:rsidRPr="00A153C6">
        <w:rPr>
          <w:rFonts w:eastAsia="Times New Roman" w:cs="Times New Roman"/>
          <w:lang w:eastAsia="en-AU"/>
        </w:rPr>
        <w:t xml:space="preserve"> 2010)</w:t>
      </w:r>
      <w:r w:rsidR="00782C85" w:rsidRPr="00A153C6">
        <w:t>.</w:t>
      </w:r>
      <w:r w:rsidR="00757B6C" w:rsidRPr="00A153C6">
        <w:t xml:space="preserve"> The essence of climate analogue analyses is to identify climates similar to a target climate (in </w:t>
      </w:r>
      <w:proofErr w:type="gramStart"/>
      <w:r w:rsidR="00A7745D">
        <w:t>either</w:t>
      </w:r>
      <w:r w:rsidR="00757B6C" w:rsidRPr="00A153C6">
        <w:t xml:space="preserve"> time and</w:t>
      </w:r>
      <w:proofErr w:type="gramEnd"/>
      <w:r w:rsidR="00757B6C" w:rsidRPr="00A153C6">
        <w:t xml:space="preserve"> space) and </w:t>
      </w:r>
      <w:r w:rsidR="00190229" w:rsidRPr="00A153C6">
        <w:t>assess the response or characteristics of</w:t>
      </w:r>
      <w:r w:rsidR="00757B6C" w:rsidRPr="00A153C6">
        <w:t xml:space="preserve"> particular exposure units (</w:t>
      </w:r>
      <w:proofErr w:type="spellStart"/>
      <w:r w:rsidR="00757B6C" w:rsidRPr="00A153C6">
        <w:t>eg</w:t>
      </w:r>
      <w:proofErr w:type="spellEnd"/>
      <w:r w:rsidR="00757B6C" w:rsidRPr="00A153C6">
        <w:t xml:space="preserve"> ecosystem, species, industry, community)</w:t>
      </w:r>
      <w:r w:rsidR="00190229" w:rsidRPr="00A153C6">
        <w:t xml:space="preserve"> to that analogous climate</w:t>
      </w:r>
      <w:r w:rsidR="00757B6C" w:rsidRPr="00A153C6">
        <w:t xml:space="preserve">. </w:t>
      </w:r>
      <w:r w:rsidR="00DE5FD6" w:rsidRPr="00A153C6">
        <w:t>Climate analogue analyses have been used in a variety of applications including urban modelling (Kopf et al 2008), socio-economic consequences (</w:t>
      </w:r>
      <w:proofErr w:type="spellStart"/>
      <w:r w:rsidR="00DE5FD6" w:rsidRPr="00A153C6">
        <w:t>Hallegate</w:t>
      </w:r>
      <w:proofErr w:type="spellEnd"/>
      <w:r w:rsidR="00DE5FD6" w:rsidRPr="00A153C6">
        <w:t xml:space="preserve"> et al 2007), snow conditions and avalanche risk (</w:t>
      </w:r>
      <w:proofErr w:type="spellStart"/>
      <w:r w:rsidR="00DE5FD6" w:rsidRPr="00A153C6">
        <w:t>Mearns</w:t>
      </w:r>
      <w:proofErr w:type="spellEnd"/>
      <w:r w:rsidR="00DE5FD6" w:rsidRPr="00A153C6">
        <w:t xml:space="preserve"> et al 2001), and agriculture (</w:t>
      </w:r>
      <w:r w:rsidR="00DA022B" w:rsidRPr="00A153C6">
        <w:t xml:space="preserve">Webb et al 2013, </w:t>
      </w:r>
      <w:r w:rsidR="00DE5FD6" w:rsidRPr="00A153C6">
        <w:t>Parry and Carter 1989, Darwin e</w:t>
      </w:r>
      <w:r w:rsidR="00757B6C" w:rsidRPr="00A153C6">
        <w:t>t</w:t>
      </w:r>
      <w:r w:rsidR="00DE5FD6" w:rsidRPr="00A153C6">
        <w:t xml:space="preserve"> al 1995, Mendelsohn and Dinar 1999). In addition to these, and perhaps of more relevance</w:t>
      </w:r>
      <w:r w:rsidR="00824A95" w:rsidRPr="00A153C6">
        <w:t xml:space="preserve"> to this project</w:t>
      </w:r>
      <w:r w:rsidR="00DE5FD6" w:rsidRPr="00A153C6">
        <w:t>, the climate analogue analysis technique has  been identified in the literature as a means of enhancing the communication of climate change scenarios to user groups including media, popular scienc</w:t>
      </w:r>
      <w:r w:rsidR="00DA5295">
        <w:t>e, and teaching in general (</w:t>
      </w:r>
      <w:proofErr w:type="spellStart"/>
      <w:r w:rsidR="00DA5295">
        <w:t>eg</w:t>
      </w:r>
      <w:proofErr w:type="spellEnd"/>
      <w:r w:rsidR="00DA5295">
        <w:t xml:space="preserve"> </w:t>
      </w:r>
      <w:r w:rsidR="00DE5FD6" w:rsidRPr="00A153C6">
        <w:t xml:space="preserve">Kopf et al 2007, </w:t>
      </w:r>
      <w:proofErr w:type="spellStart"/>
      <w:r w:rsidR="00DE5FD6" w:rsidRPr="00A153C6">
        <w:t>Hallegate</w:t>
      </w:r>
      <w:proofErr w:type="spellEnd"/>
      <w:r w:rsidR="00DE5FD6" w:rsidRPr="00A153C6">
        <w:t xml:space="preserve"> 2</w:t>
      </w:r>
      <w:r w:rsidR="00DA5295">
        <w:t>007, Adam 2007</w:t>
      </w:r>
      <w:r w:rsidR="00DE5FD6" w:rsidRPr="00A153C6">
        <w:t xml:space="preserve">). </w:t>
      </w:r>
      <w:r w:rsidR="00CD360A" w:rsidRPr="00A153C6">
        <w:t>It can enhance linkages between GCMs and targeted extension groups.</w:t>
      </w:r>
      <w:r w:rsidR="00DE5FD6" w:rsidRPr="00A153C6">
        <w:t xml:space="preserve"> </w:t>
      </w:r>
    </w:p>
    <w:p w:rsidR="007B639B" w:rsidRPr="00A153C6" w:rsidRDefault="00116EFF" w:rsidP="000717E4">
      <w:pPr>
        <w:autoSpaceDE w:val="0"/>
        <w:autoSpaceDN w:val="0"/>
        <w:adjustRightInd w:val="0"/>
        <w:spacing w:after="0" w:line="360" w:lineRule="auto"/>
        <w:jc w:val="both"/>
      </w:pPr>
      <w:r w:rsidRPr="00A153C6">
        <w:t>In c</w:t>
      </w:r>
      <w:r w:rsidR="00266BA4" w:rsidRPr="00A153C6">
        <w:t>limate analogue analyses</w:t>
      </w:r>
      <w:r w:rsidR="00784D2B" w:rsidRPr="00A153C6">
        <w:t>,</w:t>
      </w:r>
      <w:r w:rsidR="00266BA4" w:rsidRPr="00A153C6">
        <w:t xml:space="preserve"> future climates projected by GCMs for </w:t>
      </w:r>
      <w:r w:rsidR="00336E1E" w:rsidRPr="00A153C6">
        <w:t xml:space="preserve">a specific location (in this case </w:t>
      </w:r>
      <w:r w:rsidR="00266BA4" w:rsidRPr="00A153C6">
        <w:t>the Central Slopes region</w:t>
      </w:r>
      <w:r w:rsidR="00336E1E" w:rsidRPr="00A153C6">
        <w:t>)</w:t>
      </w:r>
      <w:r w:rsidR="00266BA4" w:rsidRPr="00A153C6">
        <w:t xml:space="preserve"> </w:t>
      </w:r>
      <w:r w:rsidRPr="00A153C6">
        <w:t xml:space="preserve">are compared </w:t>
      </w:r>
      <w:r w:rsidR="00266BA4" w:rsidRPr="00A153C6">
        <w:t>with existing climates found elsewhere in Australia</w:t>
      </w:r>
      <w:r w:rsidR="00E24E9E" w:rsidRPr="00A153C6">
        <w:t xml:space="preserve"> (spatial analogues), or with the climate throughout the historical record in the CS region (temporal </w:t>
      </w:r>
      <w:r w:rsidR="005A7E4C" w:rsidRPr="00A153C6">
        <w:t>a</w:t>
      </w:r>
      <w:r w:rsidR="00E24E9E" w:rsidRPr="00A153C6">
        <w:t>nalogues)</w:t>
      </w:r>
      <w:r w:rsidR="00266BA4" w:rsidRPr="00A153C6">
        <w:t>.</w:t>
      </w:r>
      <w:r w:rsidR="0002048D" w:rsidRPr="00A153C6">
        <w:t xml:space="preserve"> </w:t>
      </w:r>
      <w:r w:rsidR="00784D2B" w:rsidRPr="00A153C6">
        <w:t>T</w:t>
      </w:r>
      <w:r w:rsidR="00667F5A" w:rsidRPr="00A153C6">
        <w:t>emporal analogues</w:t>
      </w:r>
      <w:r w:rsidR="00784D2B" w:rsidRPr="00A153C6">
        <w:t xml:space="preserve"> use historical climates and responses to climate variability, </w:t>
      </w:r>
      <w:r w:rsidR="008155CA" w:rsidRPr="00A153C6">
        <w:t xml:space="preserve">climate </w:t>
      </w:r>
      <w:r w:rsidR="00784D2B" w:rsidRPr="00A153C6">
        <w:t xml:space="preserve">change and </w:t>
      </w:r>
      <w:r w:rsidR="008155CA" w:rsidRPr="00A153C6">
        <w:t xml:space="preserve">climate </w:t>
      </w:r>
      <w:r w:rsidR="00784D2B" w:rsidRPr="00A153C6">
        <w:t>extremes to provide insights for vulnerability to climate change</w:t>
      </w:r>
      <w:r w:rsidR="00A33410" w:rsidRPr="00A153C6">
        <w:rPr>
          <w:rFonts w:eastAsia="Times New Roman" w:cs="Times New Roman"/>
          <w:lang w:eastAsia="en-AU"/>
        </w:rPr>
        <w:t xml:space="preserve">. </w:t>
      </w:r>
      <w:r w:rsidR="00C266D1" w:rsidRPr="00A153C6">
        <w:t>Resilient behaviour in times of drought can be utilised to provide insights regarding farm resilience (</w:t>
      </w:r>
      <w:proofErr w:type="spellStart"/>
      <w:r w:rsidR="00C266D1" w:rsidRPr="00A153C6">
        <w:t>eg</w:t>
      </w:r>
      <w:proofErr w:type="spellEnd"/>
      <w:r w:rsidR="00C266D1" w:rsidRPr="00A153C6">
        <w:t xml:space="preserve"> </w:t>
      </w:r>
      <w:proofErr w:type="spellStart"/>
      <w:r w:rsidR="00C266D1" w:rsidRPr="00A153C6">
        <w:t>Doudle</w:t>
      </w:r>
      <w:proofErr w:type="spellEnd"/>
      <w:r w:rsidR="00C266D1" w:rsidRPr="00A153C6">
        <w:t xml:space="preserve"> et al 2009). </w:t>
      </w:r>
    </w:p>
    <w:p w:rsidR="00AA1E33" w:rsidRPr="00A153C6" w:rsidRDefault="00AA1E33" w:rsidP="000717E4">
      <w:pPr>
        <w:spacing w:line="360" w:lineRule="auto"/>
        <w:jc w:val="both"/>
      </w:pPr>
    </w:p>
    <w:p w:rsidR="00AC7DEF" w:rsidRPr="00A153C6" w:rsidRDefault="00AC7DEF" w:rsidP="000717E4">
      <w:pPr>
        <w:spacing w:line="360" w:lineRule="auto"/>
        <w:jc w:val="both"/>
      </w:pPr>
    </w:p>
    <w:p w:rsidR="00F74681" w:rsidRPr="00690C54" w:rsidRDefault="00F74681" w:rsidP="000717E4">
      <w:pPr>
        <w:spacing w:line="360" w:lineRule="auto"/>
        <w:jc w:val="both"/>
        <w:rPr>
          <w:rFonts w:asciiTheme="majorHAnsi" w:hAnsiTheme="majorHAnsi"/>
          <w:b/>
        </w:rPr>
      </w:pPr>
      <w:r w:rsidRPr="00690C54">
        <w:rPr>
          <w:rFonts w:asciiTheme="majorHAnsi" w:hAnsiTheme="majorHAnsi"/>
          <w:b/>
        </w:rPr>
        <w:t>Data</w:t>
      </w:r>
    </w:p>
    <w:p w:rsidR="009B0015" w:rsidRPr="00A153C6" w:rsidRDefault="003D7AF3" w:rsidP="000717E4">
      <w:pPr>
        <w:autoSpaceDE w:val="0"/>
        <w:autoSpaceDN w:val="0"/>
        <w:adjustRightInd w:val="0"/>
        <w:spacing w:after="0" w:line="360" w:lineRule="auto"/>
        <w:jc w:val="both"/>
        <w:rPr>
          <w:rFonts w:cs="Calibri"/>
        </w:rPr>
      </w:pPr>
      <w:r w:rsidRPr="00A153C6">
        <w:rPr>
          <w:rFonts w:cs="Calibri"/>
        </w:rPr>
        <w:t xml:space="preserve">Temporal analogue information is provided for St George, Dalby, Glenn Innes, </w:t>
      </w:r>
      <w:proofErr w:type="spellStart"/>
      <w:r w:rsidRPr="00A153C6">
        <w:rPr>
          <w:rFonts w:cs="Calibri"/>
        </w:rPr>
        <w:t>Gunnadah</w:t>
      </w:r>
      <w:proofErr w:type="spellEnd"/>
      <w:r w:rsidRPr="00A153C6">
        <w:rPr>
          <w:rFonts w:cs="Calibri"/>
        </w:rPr>
        <w:t xml:space="preserve">, </w:t>
      </w:r>
      <w:proofErr w:type="spellStart"/>
      <w:r w:rsidRPr="00A153C6">
        <w:rPr>
          <w:rFonts w:cs="Calibri"/>
        </w:rPr>
        <w:t>Pallawallama</w:t>
      </w:r>
      <w:proofErr w:type="spellEnd"/>
      <w:r w:rsidRPr="00A153C6">
        <w:rPr>
          <w:rFonts w:cs="Calibri"/>
        </w:rPr>
        <w:t xml:space="preserve">, and Dubbo. </w:t>
      </w:r>
      <w:r w:rsidR="009B0015" w:rsidRPr="00A153C6">
        <w:rPr>
          <w:rFonts w:cs="Calibri"/>
        </w:rPr>
        <w:t xml:space="preserve">Historical daily maximum and minimum temperature </w:t>
      </w:r>
      <w:r w:rsidR="00A86A1F" w:rsidRPr="00A153C6">
        <w:rPr>
          <w:rFonts w:cs="Calibri"/>
        </w:rPr>
        <w:t xml:space="preserve">and daily precipitation </w:t>
      </w:r>
      <w:r w:rsidR="009B0015" w:rsidRPr="00A153C6">
        <w:rPr>
          <w:rFonts w:cs="Calibri"/>
        </w:rPr>
        <w:t xml:space="preserve">is </w:t>
      </w:r>
      <w:r w:rsidR="00A86A1F" w:rsidRPr="00A153C6">
        <w:rPr>
          <w:rFonts w:cs="Calibri"/>
        </w:rPr>
        <w:t>obtained for</w:t>
      </w:r>
      <w:r w:rsidR="002C363D" w:rsidRPr="00A153C6">
        <w:rPr>
          <w:rFonts w:cs="Calibri"/>
        </w:rPr>
        <w:t xml:space="preserve"> these locations </w:t>
      </w:r>
      <w:r w:rsidR="009F39C1" w:rsidRPr="00A153C6">
        <w:rPr>
          <w:rFonts w:cs="Calibri"/>
        </w:rPr>
        <w:t>(</w:t>
      </w:r>
      <w:r w:rsidR="002C363D" w:rsidRPr="00A153C6">
        <w:rPr>
          <w:rFonts w:cs="Calibri"/>
        </w:rPr>
        <w:t>and others in the CS region</w:t>
      </w:r>
      <w:r w:rsidR="00621383">
        <w:rPr>
          <w:rFonts w:cs="Calibri"/>
        </w:rPr>
        <w:t xml:space="preserve"> if required</w:t>
      </w:r>
      <w:r w:rsidR="009F39C1" w:rsidRPr="00A153C6">
        <w:rPr>
          <w:rFonts w:cs="Calibri"/>
        </w:rPr>
        <w:t>)</w:t>
      </w:r>
      <w:r w:rsidR="00A86A1F" w:rsidRPr="00A153C6">
        <w:rPr>
          <w:rFonts w:cs="Calibri"/>
        </w:rPr>
        <w:t xml:space="preserve"> </w:t>
      </w:r>
      <w:r w:rsidR="00A82EE8" w:rsidRPr="00A153C6">
        <w:rPr>
          <w:rFonts w:cs="Calibri"/>
        </w:rPr>
        <w:t>as detailed in Table 1.</w:t>
      </w:r>
      <w:r w:rsidR="009F39C1" w:rsidRPr="00A153C6">
        <w:rPr>
          <w:rFonts w:cs="Calibri"/>
        </w:rPr>
        <w:t xml:space="preserve"> </w:t>
      </w:r>
      <w:r w:rsidR="0014351F" w:rsidRPr="00A153C6">
        <w:rPr>
          <w:rFonts w:cs="Calibri"/>
        </w:rPr>
        <w:t xml:space="preserve"> This h</w:t>
      </w:r>
      <w:r w:rsidR="0014351F" w:rsidRPr="00A153C6">
        <w:rPr>
          <w:rFonts w:cs="Times New Roman"/>
        </w:rPr>
        <w:t xml:space="preserve">istorical climate data for these locations was obtained from the Queensland Government SILO database, </w:t>
      </w:r>
      <w:hyperlink r:id="rId7" w:history="1">
        <w:r w:rsidR="0014351F" w:rsidRPr="00A153C6">
          <w:rPr>
            <w:rStyle w:val="Hyperlink"/>
          </w:rPr>
          <w:t>http://www.longpaddock.qld.gov.au/silo</w:t>
        </w:r>
      </w:hyperlink>
      <w:r w:rsidR="0014351F" w:rsidRPr="00A153C6">
        <w:rPr>
          <w:rFonts w:cs="Times New Roman"/>
        </w:rPr>
        <w:t xml:space="preserve"> (Jeffrey </w:t>
      </w:r>
      <w:r w:rsidR="0014351F" w:rsidRPr="00A153C6">
        <w:rPr>
          <w:rFonts w:cs="Times New Roman"/>
          <w:i/>
          <w:iCs/>
        </w:rPr>
        <w:t xml:space="preserve">et al. </w:t>
      </w:r>
      <w:r w:rsidR="0014351F" w:rsidRPr="00A153C6">
        <w:rPr>
          <w:rFonts w:cs="Times New Roman"/>
        </w:rPr>
        <w:t>2001) which is a repository of historical data from the Bureau of Meteorology (in SILO this is called “Patched Point Data”).</w:t>
      </w:r>
    </w:p>
    <w:p w:rsidR="0014351F" w:rsidRPr="00A153C6" w:rsidRDefault="0014351F" w:rsidP="000717E4">
      <w:pPr>
        <w:autoSpaceDE w:val="0"/>
        <w:autoSpaceDN w:val="0"/>
        <w:adjustRightInd w:val="0"/>
        <w:spacing w:after="0" w:line="360" w:lineRule="auto"/>
        <w:jc w:val="both"/>
        <w:rPr>
          <w:rFonts w:cs="Calibri"/>
        </w:rPr>
      </w:pPr>
    </w:p>
    <w:p w:rsidR="00A153C6" w:rsidRDefault="0069475C" w:rsidP="000717E4">
      <w:pPr>
        <w:autoSpaceDE w:val="0"/>
        <w:autoSpaceDN w:val="0"/>
        <w:adjustRightInd w:val="0"/>
        <w:spacing w:after="0" w:line="360" w:lineRule="auto"/>
        <w:jc w:val="both"/>
        <w:rPr>
          <w:bCs/>
        </w:rPr>
      </w:pPr>
      <w:r w:rsidRPr="00A153C6">
        <w:rPr>
          <w:rFonts w:cs="Calibri"/>
        </w:rPr>
        <w:t>The future climate</w:t>
      </w:r>
      <w:r w:rsidR="00A153C6" w:rsidRPr="00A153C6">
        <w:rPr>
          <w:rFonts w:cs="Calibri"/>
        </w:rPr>
        <w:t xml:space="preserve"> projection</w:t>
      </w:r>
      <w:r w:rsidR="004D3D10">
        <w:rPr>
          <w:rFonts w:cs="Calibri"/>
        </w:rPr>
        <w:t>s</w:t>
      </w:r>
      <w:r w:rsidR="00A153C6" w:rsidRPr="00A153C6">
        <w:rPr>
          <w:rFonts w:cs="Calibri"/>
        </w:rPr>
        <w:t xml:space="preserve"> for annual and seasonal </w:t>
      </w:r>
      <w:r w:rsidR="008B0A51" w:rsidRPr="00A153C6">
        <w:rPr>
          <w:rFonts w:cs="Calibri"/>
        </w:rPr>
        <w:t xml:space="preserve">temperature and precipitation </w:t>
      </w:r>
      <w:r w:rsidR="00A153C6" w:rsidRPr="00A153C6">
        <w:rPr>
          <w:rFonts w:cs="Calibri"/>
        </w:rPr>
        <w:t xml:space="preserve">have been obtained from the CSIRO </w:t>
      </w:r>
      <w:r w:rsidR="008B0A51" w:rsidRPr="00A153C6">
        <w:rPr>
          <w:rFonts w:cs="Calibri"/>
        </w:rPr>
        <w:t xml:space="preserve">Interim </w:t>
      </w:r>
      <w:r w:rsidR="00A153C6" w:rsidRPr="00A153C6">
        <w:rPr>
          <w:rFonts w:cs="Calibri"/>
        </w:rPr>
        <w:t xml:space="preserve">Climate Statement. Tables 1 and 2 identify the range of </w:t>
      </w:r>
      <w:r w:rsidR="00A153C6">
        <w:rPr>
          <w:bCs/>
        </w:rPr>
        <w:t xml:space="preserve">projected temperature and precipitation changes </w:t>
      </w:r>
      <w:r w:rsidR="00A153C6" w:rsidRPr="00A153C6">
        <w:rPr>
          <w:bCs/>
        </w:rPr>
        <w:t xml:space="preserve">from the CMIP5 </w:t>
      </w:r>
      <w:r w:rsidR="00A153C6">
        <w:rPr>
          <w:bCs/>
        </w:rPr>
        <w:t xml:space="preserve">GCMs </w:t>
      </w:r>
      <w:r w:rsidR="008B0A51" w:rsidRPr="00A153C6">
        <w:rPr>
          <w:bCs/>
        </w:rPr>
        <w:t xml:space="preserve">for the </w:t>
      </w:r>
      <w:r w:rsidR="00A153C6" w:rsidRPr="00A153C6">
        <w:rPr>
          <w:bCs/>
        </w:rPr>
        <w:t xml:space="preserve">entire </w:t>
      </w:r>
      <w:r w:rsidR="008B0A51" w:rsidRPr="00A153C6">
        <w:rPr>
          <w:bCs/>
        </w:rPr>
        <w:t>Central Slopes cluster (compared to 1986-20</w:t>
      </w:r>
      <w:r w:rsidR="00A153C6" w:rsidRPr="00A153C6">
        <w:rPr>
          <w:bCs/>
        </w:rPr>
        <w:t xml:space="preserve">05 </w:t>
      </w:r>
      <w:proofErr w:type="gramStart"/>
      <w:r w:rsidR="00A153C6" w:rsidRPr="00A153C6">
        <w:rPr>
          <w:bCs/>
        </w:rPr>
        <w:t>baseline</w:t>
      </w:r>
      <w:proofErr w:type="gramEnd"/>
      <w:r w:rsidR="00A153C6" w:rsidRPr="00A153C6">
        <w:rPr>
          <w:bCs/>
        </w:rPr>
        <w:t>) for the RCP4.5 for 2030 and 2090.</w:t>
      </w:r>
      <w:r w:rsidR="00A153C6">
        <w:rPr>
          <w:bCs/>
        </w:rPr>
        <w:t xml:space="preserve"> This range of model output </w:t>
      </w:r>
      <w:r w:rsidR="00DA5295">
        <w:rPr>
          <w:bCs/>
        </w:rPr>
        <w:t>is displayed on the charts of historical climate as a rectangle encompassing the range of model projections.</w:t>
      </w:r>
      <w:r w:rsidR="00AC2E22">
        <w:rPr>
          <w:bCs/>
        </w:rPr>
        <w:t xml:space="preserve"> For most locations the 2090 temperature/rainfall projections are too great to fit on the scale of the historical data plots, and have not been included.</w:t>
      </w:r>
      <w:r w:rsidR="003C06F3">
        <w:rPr>
          <w:bCs/>
        </w:rPr>
        <w:t xml:space="preserve">  Interestingly, when examining the resulting plots of data for all 5 locations, there was no common analogue</w:t>
      </w:r>
      <w:r w:rsidR="00C2383F">
        <w:rPr>
          <w:bCs/>
        </w:rPr>
        <w:t xml:space="preserve"> across all the locations</w:t>
      </w:r>
      <w:r w:rsidR="003C06F3">
        <w:rPr>
          <w:bCs/>
        </w:rPr>
        <w:t xml:space="preserve">. </w:t>
      </w:r>
      <w:r w:rsidR="00C2383F">
        <w:rPr>
          <w:bCs/>
        </w:rPr>
        <w:t>This is a result of the regionally varying effect of</w:t>
      </w:r>
      <w:r w:rsidR="003C06F3">
        <w:rPr>
          <w:bCs/>
        </w:rPr>
        <w:t xml:space="preserve"> the drivers of </w:t>
      </w:r>
      <w:proofErr w:type="spellStart"/>
      <w:r w:rsidR="003C06F3">
        <w:rPr>
          <w:bCs/>
        </w:rPr>
        <w:t>interannual</w:t>
      </w:r>
      <w:proofErr w:type="spellEnd"/>
      <w:r w:rsidR="003C06F3">
        <w:rPr>
          <w:bCs/>
        </w:rPr>
        <w:t xml:space="preserve"> </w:t>
      </w:r>
      <w:r w:rsidR="00C2383F">
        <w:rPr>
          <w:bCs/>
        </w:rPr>
        <w:t xml:space="preserve">climate </w:t>
      </w:r>
      <w:r w:rsidR="003C06F3">
        <w:rPr>
          <w:bCs/>
        </w:rPr>
        <w:t xml:space="preserve">variability </w:t>
      </w:r>
      <w:r w:rsidR="00C2383F">
        <w:rPr>
          <w:bCs/>
        </w:rPr>
        <w:t xml:space="preserve">of </w:t>
      </w:r>
      <w:r w:rsidR="003C06F3">
        <w:rPr>
          <w:bCs/>
        </w:rPr>
        <w:t xml:space="preserve">the CS region. </w:t>
      </w:r>
      <w:bookmarkStart w:id="0" w:name="_GoBack"/>
      <w:bookmarkEnd w:id="0"/>
    </w:p>
    <w:p w:rsidR="008E7489" w:rsidRDefault="008E7489" w:rsidP="000717E4">
      <w:pPr>
        <w:autoSpaceDE w:val="0"/>
        <w:autoSpaceDN w:val="0"/>
        <w:adjustRightInd w:val="0"/>
        <w:spacing w:after="0" w:line="360" w:lineRule="auto"/>
        <w:jc w:val="both"/>
        <w:rPr>
          <w:bCs/>
        </w:rPr>
      </w:pPr>
    </w:p>
    <w:p w:rsidR="00107872" w:rsidRDefault="008E7489" w:rsidP="000717E4">
      <w:pPr>
        <w:autoSpaceDE w:val="0"/>
        <w:autoSpaceDN w:val="0"/>
        <w:adjustRightInd w:val="0"/>
        <w:spacing w:after="0" w:line="360" w:lineRule="auto"/>
        <w:jc w:val="both"/>
        <w:rPr>
          <w:bCs/>
        </w:rPr>
      </w:pPr>
      <w:r>
        <w:rPr>
          <w:bCs/>
        </w:rPr>
        <w:t>Additional data can also be displayed on the analogue charts.</w:t>
      </w:r>
      <w:r w:rsidR="00896E8C">
        <w:rPr>
          <w:bCs/>
        </w:rPr>
        <w:t xml:space="preserve"> To demonstrate possible uses of the analogues charts we have included the Southern Oscillation Index (SOI) and wheat </w:t>
      </w:r>
      <w:r w:rsidR="00107872">
        <w:rPr>
          <w:bCs/>
        </w:rPr>
        <w:t>production</w:t>
      </w:r>
      <w:r w:rsidR="00896E8C">
        <w:rPr>
          <w:bCs/>
        </w:rPr>
        <w:t xml:space="preserve"> information. The SOI was obtained from </w:t>
      </w:r>
      <w:r w:rsidR="00107872">
        <w:rPr>
          <w:bCs/>
        </w:rPr>
        <w:t xml:space="preserve">the Queensland Government Long Paddock website. The monthly values were averaged from June to May the following year to obtain an annual average.  Wheat yield information was obtained from two sources: </w:t>
      </w:r>
    </w:p>
    <w:p w:rsidR="008E7489" w:rsidRDefault="00107872" w:rsidP="00107872">
      <w:pPr>
        <w:pStyle w:val="ListParagraph"/>
        <w:numPr>
          <w:ilvl w:val="0"/>
          <w:numId w:val="5"/>
        </w:numPr>
        <w:autoSpaceDE w:val="0"/>
        <w:autoSpaceDN w:val="0"/>
        <w:adjustRightInd w:val="0"/>
        <w:spacing w:after="0" w:line="360" w:lineRule="auto"/>
        <w:jc w:val="both"/>
        <w:rPr>
          <w:bCs/>
        </w:rPr>
      </w:pPr>
      <w:r w:rsidRPr="00107872">
        <w:rPr>
          <w:bCs/>
        </w:rPr>
        <w:t xml:space="preserve">GRDC regional yield data 1982-2013 for the </w:t>
      </w:r>
      <w:proofErr w:type="spellStart"/>
      <w:r w:rsidRPr="00107872">
        <w:rPr>
          <w:bCs/>
        </w:rPr>
        <w:t>NorthEast</w:t>
      </w:r>
      <w:proofErr w:type="spellEnd"/>
      <w:r w:rsidRPr="00107872">
        <w:rPr>
          <w:bCs/>
        </w:rPr>
        <w:t xml:space="preserve"> NSW/Qld zone (this one GRDC zone covered the entire CS region)</w:t>
      </w:r>
    </w:p>
    <w:p w:rsidR="00BA795C" w:rsidRDefault="00107872" w:rsidP="00BA795C">
      <w:pPr>
        <w:pStyle w:val="ListParagraph"/>
        <w:numPr>
          <w:ilvl w:val="0"/>
          <w:numId w:val="5"/>
        </w:numPr>
        <w:autoSpaceDE w:val="0"/>
        <w:autoSpaceDN w:val="0"/>
        <w:adjustRightInd w:val="0"/>
        <w:spacing w:after="0" w:line="360" w:lineRule="auto"/>
        <w:jc w:val="both"/>
        <w:rPr>
          <w:bCs/>
        </w:rPr>
      </w:pPr>
      <w:r>
        <w:rPr>
          <w:bCs/>
        </w:rPr>
        <w:t>Simulated APSIM wheat yield for each location (provided by Brendan Power, QDAFF).</w:t>
      </w:r>
    </w:p>
    <w:p w:rsidR="00107872" w:rsidRPr="00BA795C" w:rsidRDefault="00BA795C" w:rsidP="007050E1">
      <w:pPr>
        <w:autoSpaceDE w:val="0"/>
        <w:autoSpaceDN w:val="0"/>
        <w:adjustRightInd w:val="0"/>
        <w:spacing w:after="0" w:line="360" w:lineRule="auto"/>
        <w:jc w:val="both"/>
        <w:rPr>
          <w:bCs/>
        </w:rPr>
      </w:pPr>
      <w:r>
        <w:rPr>
          <w:bCs/>
        </w:rPr>
        <w:t xml:space="preserve">The two </w:t>
      </w:r>
      <w:proofErr w:type="spellStart"/>
      <w:r>
        <w:rPr>
          <w:bCs/>
        </w:rPr>
        <w:t>timeseries</w:t>
      </w:r>
      <w:proofErr w:type="spellEnd"/>
      <w:r>
        <w:rPr>
          <w:bCs/>
        </w:rPr>
        <w:t xml:space="preserve"> of yield</w:t>
      </w:r>
      <w:r w:rsidR="007050E1">
        <w:rPr>
          <w:bCs/>
        </w:rPr>
        <w:t xml:space="preserve"> provide different results</w:t>
      </w:r>
      <w:r w:rsidR="002D1533">
        <w:rPr>
          <w:bCs/>
        </w:rPr>
        <w:t>, and may be elucidated upon in a future report</w:t>
      </w:r>
      <w:r w:rsidR="007050E1">
        <w:rPr>
          <w:bCs/>
        </w:rPr>
        <w:t>.</w:t>
      </w:r>
      <w:r w:rsidR="00107872" w:rsidRPr="00BA795C">
        <w:rPr>
          <w:bCs/>
        </w:rPr>
        <w:t xml:space="preserve"> </w:t>
      </w:r>
    </w:p>
    <w:p w:rsidR="00DA5295" w:rsidRDefault="00DA5295" w:rsidP="000717E4">
      <w:pPr>
        <w:autoSpaceDE w:val="0"/>
        <w:autoSpaceDN w:val="0"/>
        <w:adjustRightInd w:val="0"/>
        <w:spacing w:after="0" w:line="360" w:lineRule="auto"/>
        <w:jc w:val="both"/>
        <w:rPr>
          <w:bCs/>
        </w:rPr>
      </w:pPr>
    </w:p>
    <w:p w:rsidR="00DA5295" w:rsidRDefault="00DA5295" w:rsidP="000717E4">
      <w:pPr>
        <w:autoSpaceDE w:val="0"/>
        <w:autoSpaceDN w:val="0"/>
        <w:adjustRightInd w:val="0"/>
        <w:spacing w:after="0" w:line="360" w:lineRule="auto"/>
        <w:jc w:val="both"/>
        <w:rPr>
          <w:bCs/>
        </w:rPr>
      </w:pPr>
    </w:p>
    <w:p w:rsidR="00DA5295" w:rsidRDefault="00DA5295" w:rsidP="000717E4">
      <w:pPr>
        <w:autoSpaceDE w:val="0"/>
        <w:autoSpaceDN w:val="0"/>
        <w:adjustRightInd w:val="0"/>
        <w:spacing w:after="0" w:line="360" w:lineRule="auto"/>
        <w:jc w:val="both"/>
        <w:rPr>
          <w:bCs/>
        </w:rPr>
      </w:pPr>
    </w:p>
    <w:p w:rsidR="00DA5295" w:rsidRDefault="00DA5295" w:rsidP="000717E4">
      <w:pPr>
        <w:autoSpaceDE w:val="0"/>
        <w:autoSpaceDN w:val="0"/>
        <w:adjustRightInd w:val="0"/>
        <w:spacing w:after="0" w:line="360" w:lineRule="auto"/>
        <w:jc w:val="both"/>
        <w:rPr>
          <w:bCs/>
        </w:rPr>
      </w:pPr>
    </w:p>
    <w:p w:rsidR="00DA5295" w:rsidRDefault="00DA5295" w:rsidP="000717E4">
      <w:pPr>
        <w:autoSpaceDE w:val="0"/>
        <w:autoSpaceDN w:val="0"/>
        <w:adjustRightInd w:val="0"/>
        <w:spacing w:after="0" w:line="360" w:lineRule="auto"/>
        <w:jc w:val="both"/>
        <w:rPr>
          <w:bCs/>
        </w:rPr>
      </w:pPr>
    </w:p>
    <w:p w:rsidR="00DA5295" w:rsidRDefault="00DA5295" w:rsidP="000717E4">
      <w:pPr>
        <w:autoSpaceDE w:val="0"/>
        <w:autoSpaceDN w:val="0"/>
        <w:adjustRightInd w:val="0"/>
        <w:spacing w:after="0" w:line="360" w:lineRule="auto"/>
        <w:jc w:val="both"/>
        <w:rPr>
          <w:bCs/>
        </w:rPr>
      </w:pPr>
    </w:p>
    <w:p w:rsidR="00DA5295" w:rsidRDefault="00DA5295" w:rsidP="000717E4">
      <w:pPr>
        <w:autoSpaceDE w:val="0"/>
        <w:autoSpaceDN w:val="0"/>
        <w:adjustRightInd w:val="0"/>
        <w:spacing w:after="0" w:line="360" w:lineRule="auto"/>
        <w:jc w:val="both"/>
        <w:rPr>
          <w:bCs/>
        </w:rPr>
      </w:pPr>
    </w:p>
    <w:p w:rsidR="00DA5295" w:rsidRDefault="00DA5295" w:rsidP="000717E4">
      <w:pPr>
        <w:autoSpaceDE w:val="0"/>
        <w:autoSpaceDN w:val="0"/>
        <w:adjustRightInd w:val="0"/>
        <w:spacing w:after="0" w:line="360" w:lineRule="auto"/>
        <w:jc w:val="both"/>
        <w:rPr>
          <w:bCs/>
        </w:rPr>
      </w:pPr>
    </w:p>
    <w:tbl>
      <w:tblPr>
        <w:tblStyle w:val="TableGrid"/>
        <w:tblW w:w="9606" w:type="dxa"/>
        <w:tblLook w:val="03E0" w:firstRow="1" w:lastRow="1" w:firstColumn="1" w:lastColumn="1" w:noHBand="1" w:noVBand="0"/>
      </w:tblPr>
      <w:tblGrid>
        <w:gridCol w:w="2353"/>
        <w:gridCol w:w="2596"/>
        <w:gridCol w:w="1317"/>
        <w:gridCol w:w="1639"/>
        <w:gridCol w:w="1701"/>
      </w:tblGrid>
      <w:tr w:rsidR="00455775" w:rsidRPr="00DC7557" w:rsidTr="002650AF">
        <w:trPr>
          <w:trHeight w:val="516"/>
        </w:trPr>
        <w:tc>
          <w:tcPr>
            <w:tcW w:w="2353" w:type="dxa"/>
            <w:tcBorders>
              <w:bottom w:val="single" w:sz="18" w:space="0" w:color="auto"/>
            </w:tcBorders>
            <w:shd w:val="clear" w:color="auto" w:fill="D9D9D9" w:themeFill="background1" w:themeFillShade="D9"/>
            <w:vAlign w:val="center"/>
          </w:tcPr>
          <w:p w:rsidR="00455775" w:rsidRPr="00DC7557" w:rsidRDefault="00455775" w:rsidP="002650AF">
            <w:pPr>
              <w:jc w:val="center"/>
              <w:rPr>
                <w:rFonts w:eastAsia="Times New Roman" w:cs="Times New Roman"/>
                <w:b/>
                <w:color w:val="000000"/>
                <w:lang w:eastAsia="en-AU"/>
              </w:rPr>
            </w:pPr>
            <w:r>
              <w:rPr>
                <w:rFonts w:eastAsia="Times New Roman" w:cs="Times New Roman"/>
                <w:b/>
                <w:color w:val="000000"/>
                <w:lang w:eastAsia="en-AU"/>
              </w:rPr>
              <w:t>NRM region</w:t>
            </w:r>
          </w:p>
        </w:tc>
        <w:tc>
          <w:tcPr>
            <w:tcW w:w="2596" w:type="dxa"/>
            <w:tcBorders>
              <w:bottom w:val="single" w:sz="18" w:space="0" w:color="auto"/>
            </w:tcBorders>
            <w:shd w:val="clear" w:color="auto" w:fill="D9D9D9" w:themeFill="background1" w:themeFillShade="D9"/>
            <w:noWrap/>
            <w:vAlign w:val="center"/>
            <w:hideMark/>
          </w:tcPr>
          <w:p w:rsidR="00455775" w:rsidRPr="00765491" w:rsidRDefault="00455775" w:rsidP="002650AF">
            <w:pPr>
              <w:jc w:val="center"/>
              <w:rPr>
                <w:rFonts w:eastAsia="Times New Roman" w:cs="Times New Roman"/>
                <w:b/>
                <w:color w:val="000000"/>
                <w:lang w:eastAsia="en-AU"/>
              </w:rPr>
            </w:pPr>
            <w:r w:rsidRPr="00DC7557">
              <w:rPr>
                <w:rFonts w:eastAsia="Times New Roman" w:cs="Times New Roman"/>
                <w:b/>
                <w:color w:val="000000"/>
                <w:lang w:eastAsia="en-AU"/>
              </w:rPr>
              <w:t>NAME</w:t>
            </w:r>
          </w:p>
        </w:tc>
        <w:tc>
          <w:tcPr>
            <w:tcW w:w="1317" w:type="dxa"/>
            <w:tcBorders>
              <w:bottom w:val="single" w:sz="18" w:space="0" w:color="auto"/>
            </w:tcBorders>
            <w:shd w:val="clear" w:color="auto" w:fill="D9D9D9" w:themeFill="background1" w:themeFillShade="D9"/>
            <w:noWrap/>
            <w:vAlign w:val="center"/>
            <w:hideMark/>
          </w:tcPr>
          <w:p w:rsidR="00455775" w:rsidRPr="00765491" w:rsidRDefault="00455775" w:rsidP="002650AF">
            <w:pPr>
              <w:jc w:val="center"/>
              <w:rPr>
                <w:rFonts w:eastAsia="Times New Roman" w:cs="Times New Roman"/>
                <w:b/>
                <w:color w:val="000000"/>
                <w:lang w:eastAsia="en-AU"/>
              </w:rPr>
            </w:pPr>
            <w:r w:rsidRPr="00DC7557">
              <w:rPr>
                <w:rFonts w:eastAsia="Times New Roman" w:cs="Times New Roman"/>
                <w:b/>
                <w:color w:val="000000"/>
                <w:lang w:eastAsia="en-AU"/>
              </w:rPr>
              <w:t>NUMBER</w:t>
            </w:r>
          </w:p>
        </w:tc>
        <w:tc>
          <w:tcPr>
            <w:tcW w:w="1639" w:type="dxa"/>
            <w:tcBorders>
              <w:bottom w:val="single" w:sz="18" w:space="0" w:color="auto"/>
            </w:tcBorders>
            <w:shd w:val="clear" w:color="auto" w:fill="D9D9D9" w:themeFill="background1" w:themeFillShade="D9"/>
            <w:noWrap/>
            <w:vAlign w:val="center"/>
            <w:hideMark/>
          </w:tcPr>
          <w:p w:rsidR="00455775" w:rsidRPr="00765491" w:rsidRDefault="00455775" w:rsidP="002650AF">
            <w:pPr>
              <w:jc w:val="center"/>
              <w:rPr>
                <w:rFonts w:eastAsia="Times New Roman" w:cs="Times New Roman"/>
                <w:b/>
                <w:color w:val="000000"/>
                <w:lang w:eastAsia="en-AU"/>
              </w:rPr>
            </w:pPr>
            <w:r w:rsidRPr="00DC7557">
              <w:rPr>
                <w:rFonts w:eastAsia="Times New Roman" w:cs="Times New Roman"/>
                <w:b/>
                <w:color w:val="000000"/>
                <w:lang w:eastAsia="en-AU"/>
              </w:rPr>
              <w:t>LAT</w:t>
            </w:r>
            <w:r>
              <w:rPr>
                <w:rFonts w:eastAsia="Times New Roman" w:cs="Times New Roman"/>
                <w:b/>
                <w:color w:val="000000"/>
                <w:lang w:eastAsia="en-AU"/>
              </w:rPr>
              <w:t>ITUDE (</w:t>
            </w:r>
            <w:proofErr w:type="spellStart"/>
            <w:r w:rsidRPr="00495535">
              <w:rPr>
                <w:rFonts w:eastAsia="Times New Roman" w:cs="Times New Roman"/>
                <w:b/>
                <w:color w:val="000000"/>
                <w:vertAlign w:val="superscript"/>
                <w:lang w:eastAsia="en-AU"/>
              </w:rPr>
              <w:t>o</w:t>
            </w:r>
            <w:r>
              <w:rPr>
                <w:rFonts w:eastAsia="Times New Roman" w:cs="Times New Roman"/>
                <w:b/>
                <w:color w:val="000000"/>
                <w:lang w:eastAsia="en-AU"/>
              </w:rPr>
              <w:t>S</w:t>
            </w:r>
            <w:proofErr w:type="spellEnd"/>
            <w:r>
              <w:rPr>
                <w:rFonts w:eastAsia="Times New Roman" w:cs="Times New Roman"/>
                <w:b/>
                <w:color w:val="000000"/>
                <w:lang w:eastAsia="en-AU"/>
              </w:rPr>
              <w:t xml:space="preserve">) </w:t>
            </w:r>
          </w:p>
        </w:tc>
        <w:tc>
          <w:tcPr>
            <w:tcW w:w="1701" w:type="dxa"/>
            <w:tcBorders>
              <w:bottom w:val="single" w:sz="18" w:space="0" w:color="auto"/>
            </w:tcBorders>
            <w:shd w:val="clear" w:color="auto" w:fill="D9D9D9" w:themeFill="background1" w:themeFillShade="D9"/>
            <w:noWrap/>
            <w:vAlign w:val="center"/>
            <w:hideMark/>
          </w:tcPr>
          <w:p w:rsidR="00455775" w:rsidRPr="00765491" w:rsidRDefault="00455775" w:rsidP="002650AF">
            <w:pPr>
              <w:jc w:val="center"/>
              <w:rPr>
                <w:rFonts w:eastAsia="Times New Roman" w:cs="Times New Roman"/>
                <w:b/>
                <w:color w:val="000000"/>
                <w:lang w:eastAsia="en-AU"/>
              </w:rPr>
            </w:pPr>
            <w:r w:rsidRPr="00DC7557">
              <w:rPr>
                <w:rFonts w:eastAsia="Times New Roman" w:cs="Times New Roman"/>
                <w:b/>
                <w:color w:val="000000"/>
                <w:lang w:eastAsia="en-AU"/>
              </w:rPr>
              <w:t>LONG</w:t>
            </w:r>
            <w:r>
              <w:rPr>
                <w:rFonts w:eastAsia="Times New Roman" w:cs="Times New Roman"/>
                <w:b/>
                <w:color w:val="000000"/>
                <w:lang w:eastAsia="en-AU"/>
              </w:rPr>
              <w:t>ITUDE (</w:t>
            </w:r>
            <w:proofErr w:type="spellStart"/>
            <w:r w:rsidRPr="00495535">
              <w:rPr>
                <w:rFonts w:eastAsia="Times New Roman" w:cs="Times New Roman"/>
                <w:b/>
                <w:color w:val="000000"/>
                <w:vertAlign w:val="superscript"/>
                <w:lang w:eastAsia="en-AU"/>
              </w:rPr>
              <w:t>o</w:t>
            </w:r>
            <w:r>
              <w:rPr>
                <w:rFonts w:eastAsia="Times New Roman" w:cs="Times New Roman"/>
                <w:b/>
                <w:color w:val="000000"/>
                <w:lang w:eastAsia="en-AU"/>
              </w:rPr>
              <w:t>E</w:t>
            </w:r>
            <w:proofErr w:type="spellEnd"/>
            <w:r>
              <w:rPr>
                <w:rFonts w:eastAsia="Times New Roman" w:cs="Times New Roman"/>
                <w:b/>
                <w:color w:val="000000"/>
                <w:lang w:eastAsia="en-AU"/>
              </w:rPr>
              <w:t>)</w:t>
            </w:r>
          </w:p>
        </w:tc>
      </w:tr>
      <w:tr w:rsidR="00455775" w:rsidRPr="00DC7557" w:rsidTr="002650AF">
        <w:trPr>
          <w:trHeight w:val="347"/>
        </w:trPr>
        <w:tc>
          <w:tcPr>
            <w:tcW w:w="2353" w:type="dxa"/>
            <w:vMerge w:val="restart"/>
            <w:tcBorders>
              <w:top w:val="single" w:sz="18" w:space="0" w:color="auto"/>
            </w:tcBorders>
            <w:shd w:val="clear" w:color="auto" w:fill="D9D9D9" w:themeFill="background1" w:themeFillShade="D9"/>
            <w:vAlign w:val="center"/>
          </w:tcPr>
          <w:p w:rsidR="00455775" w:rsidRPr="00DC7557" w:rsidRDefault="00455775" w:rsidP="002650AF">
            <w:pPr>
              <w:jc w:val="center"/>
              <w:rPr>
                <w:rFonts w:eastAsia="Times New Roman" w:cs="Times New Roman"/>
                <w:b/>
                <w:color w:val="000000"/>
                <w:lang w:eastAsia="en-AU"/>
              </w:rPr>
            </w:pPr>
            <w:r w:rsidRPr="00DC7557">
              <w:rPr>
                <w:b/>
              </w:rPr>
              <w:t>Border Rivers Maranoa-Balonne</w:t>
            </w:r>
          </w:p>
        </w:tc>
        <w:tc>
          <w:tcPr>
            <w:tcW w:w="2596" w:type="dxa"/>
            <w:tcBorders>
              <w:top w:val="single" w:sz="18" w:space="0" w:color="auto"/>
            </w:tcBorders>
            <w:noWrap/>
            <w:vAlign w:val="center"/>
            <w:hideMark/>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Goondiwindi</w:t>
            </w:r>
          </w:p>
        </w:tc>
        <w:tc>
          <w:tcPr>
            <w:tcW w:w="1317" w:type="dxa"/>
            <w:tcBorders>
              <w:top w:val="single" w:sz="18" w:space="0" w:color="auto"/>
            </w:tcBorders>
            <w:noWrap/>
            <w:vAlign w:val="center"/>
            <w:hideMark/>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41521</w:t>
            </w:r>
          </w:p>
        </w:tc>
        <w:tc>
          <w:tcPr>
            <w:tcW w:w="1639" w:type="dxa"/>
            <w:tcBorders>
              <w:top w:val="single" w:sz="18" w:space="0" w:color="auto"/>
            </w:tcBorders>
            <w:noWrap/>
            <w:vAlign w:val="center"/>
            <w:hideMark/>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-28.52</w:t>
            </w:r>
          </w:p>
        </w:tc>
        <w:tc>
          <w:tcPr>
            <w:tcW w:w="1701" w:type="dxa"/>
            <w:tcBorders>
              <w:top w:val="single" w:sz="18" w:space="0" w:color="auto"/>
            </w:tcBorders>
            <w:noWrap/>
            <w:vAlign w:val="center"/>
            <w:hideMark/>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150.33</w:t>
            </w:r>
          </w:p>
        </w:tc>
      </w:tr>
      <w:tr w:rsidR="00455775" w:rsidRPr="00DC7557" w:rsidTr="002650AF">
        <w:trPr>
          <w:trHeight w:val="347"/>
        </w:trPr>
        <w:tc>
          <w:tcPr>
            <w:tcW w:w="2353" w:type="dxa"/>
            <w:vMerge/>
            <w:shd w:val="clear" w:color="auto" w:fill="D9D9D9" w:themeFill="background1" w:themeFillShade="D9"/>
            <w:vAlign w:val="center"/>
          </w:tcPr>
          <w:p w:rsidR="00455775" w:rsidRPr="00DC7557" w:rsidRDefault="00455775" w:rsidP="002650AF">
            <w:pPr>
              <w:jc w:val="center"/>
              <w:rPr>
                <w:rFonts w:eastAsia="Times New Roman" w:cs="Times New Roman"/>
                <w:b/>
                <w:color w:val="000000"/>
                <w:lang w:eastAsia="en-AU"/>
              </w:rPr>
            </w:pPr>
          </w:p>
        </w:tc>
        <w:tc>
          <w:tcPr>
            <w:tcW w:w="2596" w:type="dxa"/>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Mitchell</w:t>
            </w:r>
          </w:p>
        </w:tc>
        <w:tc>
          <w:tcPr>
            <w:tcW w:w="1317" w:type="dxa"/>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43020</w:t>
            </w:r>
          </w:p>
        </w:tc>
        <w:tc>
          <w:tcPr>
            <w:tcW w:w="1639" w:type="dxa"/>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-26.49</w:t>
            </w:r>
          </w:p>
        </w:tc>
        <w:tc>
          <w:tcPr>
            <w:tcW w:w="1701" w:type="dxa"/>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147.98</w:t>
            </w:r>
          </w:p>
        </w:tc>
      </w:tr>
      <w:tr w:rsidR="00455775" w:rsidRPr="00DC7557" w:rsidTr="00455775">
        <w:trPr>
          <w:trHeight w:val="347"/>
        </w:trPr>
        <w:tc>
          <w:tcPr>
            <w:tcW w:w="2353" w:type="dxa"/>
            <w:vMerge/>
            <w:shd w:val="clear" w:color="auto" w:fill="D9D9D9" w:themeFill="background1" w:themeFillShade="D9"/>
            <w:vAlign w:val="center"/>
          </w:tcPr>
          <w:p w:rsidR="00455775" w:rsidRPr="00DC7557" w:rsidRDefault="00455775" w:rsidP="002650AF">
            <w:pPr>
              <w:jc w:val="center"/>
              <w:rPr>
                <w:rFonts w:eastAsia="Times New Roman" w:cs="Times New Roman"/>
                <w:b/>
                <w:color w:val="000000"/>
                <w:lang w:eastAsia="en-AU"/>
              </w:rPr>
            </w:pPr>
          </w:p>
        </w:tc>
        <w:tc>
          <w:tcPr>
            <w:tcW w:w="2596" w:type="dxa"/>
            <w:shd w:val="clear" w:color="auto" w:fill="FFFF00"/>
            <w:noWrap/>
            <w:vAlign w:val="center"/>
          </w:tcPr>
          <w:p w:rsidR="00455775" w:rsidRPr="00455775" w:rsidRDefault="00455775" w:rsidP="00455775">
            <w:pPr>
              <w:pStyle w:val="ListParagraph"/>
              <w:rPr>
                <w:rFonts w:eastAsia="Times New Roman" w:cs="Times New Roman"/>
                <w:color w:val="000000"/>
                <w:lang w:eastAsia="en-AU"/>
              </w:rPr>
            </w:pPr>
            <w:r w:rsidRPr="00455775">
              <w:rPr>
                <w:rFonts w:eastAsia="Times New Roman" w:cs="Times New Roman"/>
                <w:color w:val="000000"/>
                <w:lang w:eastAsia="en-AU"/>
              </w:rPr>
              <w:t xml:space="preserve"> St George</w:t>
            </w:r>
          </w:p>
        </w:tc>
        <w:tc>
          <w:tcPr>
            <w:tcW w:w="1317" w:type="dxa"/>
            <w:shd w:val="clear" w:color="auto" w:fill="FFFF00"/>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43034</w:t>
            </w:r>
          </w:p>
        </w:tc>
        <w:tc>
          <w:tcPr>
            <w:tcW w:w="1639" w:type="dxa"/>
            <w:shd w:val="clear" w:color="auto" w:fill="FFFF00"/>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-28.04</w:t>
            </w:r>
          </w:p>
        </w:tc>
        <w:tc>
          <w:tcPr>
            <w:tcW w:w="1701" w:type="dxa"/>
            <w:shd w:val="clear" w:color="auto" w:fill="FFFF00"/>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148.58</w:t>
            </w:r>
          </w:p>
        </w:tc>
      </w:tr>
      <w:tr w:rsidR="00455775" w:rsidRPr="00DC7557" w:rsidTr="002650AF">
        <w:trPr>
          <w:trHeight w:val="347"/>
        </w:trPr>
        <w:tc>
          <w:tcPr>
            <w:tcW w:w="2353" w:type="dxa"/>
            <w:vMerge/>
            <w:tcBorders>
              <w:bottom w:val="single" w:sz="18" w:space="0" w:color="auto"/>
            </w:tcBorders>
            <w:shd w:val="clear" w:color="auto" w:fill="D9D9D9" w:themeFill="background1" w:themeFillShade="D9"/>
            <w:vAlign w:val="center"/>
          </w:tcPr>
          <w:p w:rsidR="00455775" w:rsidRPr="00DC7557" w:rsidRDefault="00455775" w:rsidP="002650AF">
            <w:pPr>
              <w:jc w:val="center"/>
              <w:rPr>
                <w:rFonts w:eastAsia="Times New Roman" w:cs="Times New Roman"/>
                <w:b/>
                <w:color w:val="000000"/>
                <w:lang w:eastAsia="en-AU"/>
              </w:rPr>
            </w:pPr>
          </w:p>
        </w:tc>
        <w:tc>
          <w:tcPr>
            <w:tcW w:w="2596" w:type="dxa"/>
            <w:tcBorders>
              <w:bottom w:val="single" w:sz="18" w:space="0" w:color="auto"/>
            </w:tcBorders>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Roma/Waverley Downs</w:t>
            </w:r>
          </w:p>
        </w:tc>
        <w:tc>
          <w:tcPr>
            <w:tcW w:w="1317" w:type="dxa"/>
            <w:tcBorders>
              <w:bottom w:val="single" w:sz="18" w:space="0" w:color="auto"/>
            </w:tcBorders>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43093</w:t>
            </w:r>
          </w:p>
        </w:tc>
        <w:tc>
          <w:tcPr>
            <w:tcW w:w="1639" w:type="dxa"/>
            <w:tcBorders>
              <w:bottom w:val="single" w:sz="18" w:space="0" w:color="auto"/>
            </w:tcBorders>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-26.61</w:t>
            </w:r>
          </w:p>
        </w:tc>
        <w:tc>
          <w:tcPr>
            <w:tcW w:w="1701" w:type="dxa"/>
            <w:tcBorders>
              <w:bottom w:val="single" w:sz="18" w:space="0" w:color="auto"/>
            </w:tcBorders>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148.54</w:t>
            </w:r>
          </w:p>
        </w:tc>
      </w:tr>
      <w:tr w:rsidR="00455775" w:rsidRPr="00DC7557" w:rsidTr="002650AF">
        <w:trPr>
          <w:trHeight w:val="347"/>
        </w:trPr>
        <w:tc>
          <w:tcPr>
            <w:tcW w:w="2353" w:type="dxa"/>
            <w:vMerge w:val="restart"/>
            <w:tcBorders>
              <w:top w:val="single" w:sz="18" w:space="0" w:color="auto"/>
            </w:tcBorders>
            <w:shd w:val="clear" w:color="auto" w:fill="D9D9D9" w:themeFill="background1" w:themeFillShade="D9"/>
            <w:vAlign w:val="center"/>
          </w:tcPr>
          <w:p w:rsidR="00455775" w:rsidRPr="00DC7557" w:rsidRDefault="00455775" w:rsidP="002650AF">
            <w:pPr>
              <w:jc w:val="center"/>
              <w:rPr>
                <w:rFonts w:eastAsia="Times New Roman" w:cs="Times New Roman"/>
                <w:b/>
                <w:color w:val="000000"/>
                <w:lang w:eastAsia="en-AU"/>
              </w:rPr>
            </w:pPr>
            <w:r w:rsidRPr="00DC7557">
              <w:rPr>
                <w:b/>
              </w:rPr>
              <w:t>Condamine Alliance</w:t>
            </w:r>
          </w:p>
        </w:tc>
        <w:tc>
          <w:tcPr>
            <w:tcW w:w="2596" w:type="dxa"/>
            <w:tcBorders>
              <w:top w:val="single" w:sz="18" w:space="0" w:color="auto"/>
            </w:tcBorders>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Chinchilla</w:t>
            </w:r>
          </w:p>
        </w:tc>
        <w:tc>
          <w:tcPr>
            <w:tcW w:w="1317" w:type="dxa"/>
            <w:tcBorders>
              <w:top w:val="single" w:sz="18" w:space="0" w:color="auto"/>
            </w:tcBorders>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41017</w:t>
            </w:r>
          </w:p>
        </w:tc>
        <w:tc>
          <w:tcPr>
            <w:tcW w:w="1639" w:type="dxa"/>
            <w:tcBorders>
              <w:top w:val="single" w:sz="18" w:space="0" w:color="auto"/>
            </w:tcBorders>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-26.74</w:t>
            </w:r>
          </w:p>
        </w:tc>
        <w:tc>
          <w:tcPr>
            <w:tcW w:w="1701" w:type="dxa"/>
            <w:tcBorders>
              <w:top w:val="single" w:sz="18" w:space="0" w:color="auto"/>
            </w:tcBorders>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150.6</w:t>
            </w:r>
          </w:p>
        </w:tc>
      </w:tr>
      <w:tr w:rsidR="00455775" w:rsidRPr="00DC7557" w:rsidTr="00455775">
        <w:trPr>
          <w:trHeight w:val="347"/>
        </w:trPr>
        <w:tc>
          <w:tcPr>
            <w:tcW w:w="2353" w:type="dxa"/>
            <w:vMerge/>
            <w:shd w:val="clear" w:color="auto" w:fill="D9D9D9" w:themeFill="background1" w:themeFillShade="D9"/>
            <w:vAlign w:val="center"/>
          </w:tcPr>
          <w:p w:rsidR="00455775" w:rsidRPr="00DC7557" w:rsidRDefault="00455775" w:rsidP="002650AF">
            <w:pPr>
              <w:jc w:val="center"/>
              <w:rPr>
                <w:rFonts w:eastAsia="Times New Roman" w:cs="Times New Roman"/>
                <w:b/>
                <w:color w:val="000000"/>
                <w:lang w:eastAsia="en-AU"/>
              </w:rPr>
            </w:pPr>
          </w:p>
        </w:tc>
        <w:tc>
          <w:tcPr>
            <w:tcW w:w="2596" w:type="dxa"/>
            <w:shd w:val="clear" w:color="auto" w:fill="FFFF00"/>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Dalby</w:t>
            </w:r>
          </w:p>
        </w:tc>
        <w:tc>
          <w:tcPr>
            <w:tcW w:w="1317" w:type="dxa"/>
            <w:shd w:val="clear" w:color="auto" w:fill="FFFF00"/>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41023</w:t>
            </w:r>
          </w:p>
        </w:tc>
        <w:tc>
          <w:tcPr>
            <w:tcW w:w="1639" w:type="dxa"/>
            <w:shd w:val="clear" w:color="auto" w:fill="FFFF00"/>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-27.18</w:t>
            </w:r>
          </w:p>
        </w:tc>
        <w:tc>
          <w:tcPr>
            <w:tcW w:w="1701" w:type="dxa"/>
            <w:shd w:val="clear" w:color="auto" w:fill="FFFF00"/>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151.26</w:t>
            </w:r>
          </w:p>
        </w:tc>
      </w:tr>
      <w:tr w:rsidR="00455775" w:rsidRPr="00DC7557" w:rsidTr="002650AF">
        <w:trPr>
          <w:trHeight w:val="347"/>
        </w:trPr>
        <w:tc>
          <w:tcPr>
            <w:tcW w:w="2353" w:type="dxa"/>
            <w:vMerge/>
            <w:shd w:val="clear" w:color="auto" w:fill="D9D9D9" w:themeFill="background1" w:themeFillShade="D9"/>
            <w:vAlign w:val="center"/>
          </w:tcPr>
          <w:p w:rsidR="00455775" w:rsidRPr="00DC7557" w:rsidRDefault="00455775" w:rsidP="002650AF">
            <w:pPr>
              <w:jc w:val="center"/>
              <w:rPr>
                <w:rFonts w:eastAsia="Times New Roman" w:cs="Times New Roman"/>
                <w:b/>
                <w:color w:val="000000"/>
                <w:lang w:eastAsia="en-AU"/>
              </w:rPr>
            </w:pPr>
          </w:p>
        </w:tc>
        <w:tc>
          <w:tcPr>
            <w:tcW w:w="2596" w:type="dxa"/>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Warwick</w:t>
            </w:r>
          </w:p>
        </w:tc>
        <w:tc>
          <w:tcPr>
            <w:tcW w:w="1317" w:type="dxa"/>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41176</w:t>
            </w:r>
          </w:p>
        </w:tc>
        <w:tc>
          <w:tcPr>
            <w:tcW w:w="1639" w:type="dxa"/>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-28.22</w:t>
            </w:r>
          </w:p>
        </w:tc>
        <w:tc>
          <w:tcPr>
            <w:tcW w:w="1701" w:type="dxa"/>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152.02</w:t>
            </w:r>
          </w:p>
        </w:tc>
      </w:tr>
      <w:tr w:rsidR="00455775" w:rsidRPr="00DC7557" w:rsidTr="002650AF">
        <w:trPr>
          <w:trHeight w:val="347"/>
        </w:trPr>
        <w:tc>
          <w:tcPr>
            <w:tcW w:w="2353" w:type="dxa"/>
            <w:vMerge/>
            <w:shd w:val="clear" w:color="auto" w:fill="D9D9D9" w:themeFill="background1" w:themeFillShade="D9"/>
            <w:vAlign w:val="center"/>
          </w:tcPr>
          <w:p w:rsidR="00455775" w:rsidRPr="00DC7557" w:rsidRDefault="00455775" w:rsidP="002650AF">
            <w:pPr>
              <w:jc w:val="center"/>
              <w:rPr>
                <w:rFonts w:eastAsia="Times New Roman" w:cs="Times New Roman"/>
                <w:b/>
                <w:color w:val="000000"/>
                <w:lang w:eastAsia="en-AU"/>
              </w:rPr>
            </w:pPr>
          </w:p>
        </w:tc>
        <w:tc>
          <w:tcPr>
            <w:tcW w:w="2596" w:type="dxa"/>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Toowoomba</w:t>
            </w:r>
          </w:p>
        </w:tc>
        <w:tc>
          <w:tcPr>
            <w:tcW w:w="1317" w:type="dxa"/>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41103</w:t>
            </w:r>
          </w:p>
        </w:tc>
        <w:tc>
          <w:tcPr>
            <w:tcW w:w="1639" w:type="dxa"/>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-27.58</w:t>
            </w:r>
          </w:p>
        </w:tc>
        <w:tc>
          <w:tcPr>
            <w:tcW w:w="1701" w:type="dxa"/>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151.93</w:t>
            </w:r>
          </w:p>
        </w:tc>
      </w:tr>
      <w:tr w:rsidR="00455775" w:rsidRPr="00DC7557" w:rsidTr="002650AF">
        <w:trPr>
          <w:trHeight w:val="347"/>
        </w:trPr>
        <w:tc>
          <w:tcPr>
            <w:tcW w:w="2353" w:type="dxa"/>
            <w:vMerge/>
            <w:tcBorders>
              <w:bottom w:val="single" w:sz="18" w:space="0" w:color="auto"/>
            </w:tcBorders>
            <w:shd w:val="clear" w:color="auto" w:fill="D9D9D9" w:themeFill="background1" w:themeFillShade="D9"/>
            <w:vAlign w:val="center"/>
          </w:tcPr>
          <w:p w:rsidR="00455775" w:rsidRPr="00DC7557" w:rsidRDefault="00455775" w:rsidP="002650AF">
            <w:pPr>
              <w:jc w:val="center"/>
              <w:rPr>
                <w:rFonts w:eastAsia="Times New Roman" w:cs="Times New Roman"/>
                <w:b/>
                <w:color w:val="000000"/>
                <w:lang w:eastAsia="en-AU"/>
              </w:rPr>
            </w:pPr>
          </w:p>
        </w:tc>
        <w:tc>
          <w:tcPr>
            <w:tcW w:w="2596" w:type="dxa"/>
            <w:tcBorders>
              <w:bottom w:val="single" w:sz="18" w:space="0" w:color="auto"/>
            </w:tcBorders>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Pittsworth</w:t>
            </w:r>
          </w:p>
        </w:tc>
        <w:tc>
          <w:tcPr>
            <w:tcW w:w="1317" w:type="dxa"/>
            <w:tcBorders>
              <w:bottom w:val="single" w:sz="18" w:space="0" w:color="auto"/>
            </w:tcBorders>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41082</w:t>
            </w:r>
          </w:p>
        </w:tc>
        <w:tc>
          <w:tcPr>
            <w:tcW w:w="1639" w:type="dxa"/>
            <w:tcBorders>
              <w:bottom w:val="single" w:sz="18" w:space="0" w:color="auto"/>
            </w:tcBorders>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-27.72</w:t>
            </w:r>
          </w:p>
        </w:tc>
        <w:tc>
          <w:tcPr>
            <w:tcW w:w="1701" w:type="dxa"/>
            <w:tcBorders>
              <w:bottom w:val="single" w:sz="18" w:space="0" w:color="auto"/>
            </w:tcBorders>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151.63</w:t>
            </w:r>
          </w:p>
        </w:tc>
      </w:tr>
      <w:tr w:rsidR="00455775" w:rsidRPr="00DC7557" w:rsidTr="002650AF">
        <w:trPr>
          <w:trHeight w:val="347"/>
        </w:trPr>
        <w:tc>
          <w:tcPr>
            <w:tcW w:w="2353" w:type="dxa"/>
            <w:vMerge w:val="restart"/>
            <w:tcBorders>
              <w:top w:val="single" w:sz="18" w:space="0" w:color="auto"/>
            </w:tcBorders>
            <w:shd w:val="clear" w:color="auto" w:fill="D9D9D9" w:themeFill="background1" w:themeFillShade="D9"/>
            <w:vAlign w:val="center"/>
          </w:tcPr>
          <w:p w:rsidR="00455775" w:rsidRPr="00DC7557" w:rsidRDefault="00455775" w:rsidP="002650AF">
            <w:pPr>
              <w:jc w:val="center"/>
              <w:rPr>
                <w:rFonts w:eastAsia="Times New Roman" w:cs="Times New Roman"/>
                <w:b/>
                <w:color w:val="000000"/>
                <w:lang w:eastAsia="en-AU"/>
              </w:rPr>
            </w:pPr>
            <w:r w:rsidRPr="00DC7557">
              <w:rPr>
                <w:b/>
              </w:rPr>
              <w:t>Northern Tablelands</w:t>
            </w:r>
          </w:p>
        </w:tc>
        <w:tc>
          <w:tcPr>
            <w:tcW w:w="2596" w:type="dxa"/>
            <w:tcBorders>
              <w:top w:val="single" w:sz="18" w:space="0" w:color="auto"/>
            </w:tcBorders>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Attunga</w:t>
            </w:r>
          </w:p>
        </w:tc>
        <w:tc>
          <w:tcPr>
            <w:tcW w:w="1317" w:type="dxa"/>
            <w:tcBorders>
              <w:top w:val="single" w:sz="18" w:space="0" w:color="auto"/>
            </w:tcBorders>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55000</w:t>
            </w:r>
          </w:p>
        </w:tc>
        <w:tc>
          <w:tcPr>
            <w:tcW w:w="1639" w:type="dxa"/>
            <w:tcBorders>
              <w:top w:val="single" w:sz="18" w:space="0" w:color="auto"/>
            </w:tcBorders>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-30.01</w:t>
            </w:r>
          </w:p>
        </w:tc>
        <w:tc>
          <w:tcPr>
            <w:tcW w:w="1701" w:type="dxa"/>
            <w:tcBorders>
              <w:top w:val="single" w:sz="18" w:space="0" w:color="auto"/>
            </w:tcBorders>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150.86</w:t>
            </w:r>
          </w:p>
        </w:tc>
      </w:tr>
      <w:tr w:rsidR="00455775" w:rsidRPr="00DC7557" w:rsidTr="002650AF">
        <w:trPr>
          <w:trHeight w:val="347"/>
        </w:trPr>
        <w:tc>
          <w:tcPr>
            <w:tcW w:w="2353" w:type="dxa"/>
            <w:vMerge/>
            <w:shd w:val="clear" w:color="auto" w:fill="D9D9D9" w:themeFill="background1" w:themeFillShade="D9"/>
            <w:vAlign w:val="center"/>
          </w:tcPr>
          <w:p w:rsidR="00455775" w:rsidRPr="00DC7557" w:rsidRDefault="00455775" w:rsidP="002650AF">
            <w:pPr>
              <w:jc w:val="center"/>
              <w:rPr>
                <w:rFonts w:eastAsia="Times New Roman" w:cs="Times New Roman"/>
                <w:b/>
                <w:color w:val="000000"/>
                <w:lang w:eastAsia="en-AU"/>
              </w:rPr>
            </w:pPr>
          </w:p>
        </w:tc>
        <w:tc>
          <w:tcPr>
            <w:tcW w:w="2596" w:type="dxa"/>
            <w:noWrap/>
            <w:vAlign w:val="center"/>
          </w:tcPr>
          <w:p w:rsidR="00455775" w:rsidRPr="00765491" w:rsidRDefault="00455775" w:rsidP="002650AF">
            <w:pPr>
              <w:jc w:val="center"/>
              <w:rPr>
                <w:rFonts w:eastAsia="Times New Roman" w:cs="Times New Roman"/>
                <w:color w:val="000000"/>
                <w:lang w:eastAsia="en-AU"/>
              </w:rPr>
            </w:pPr>
            <w:proofErr w:type="spellStart"/>
            <w:r w:rsidRPr="00765491">
              <w:rPr>
                <w:rFonts w:eastAsia="Times New Roman" w:cs="Times New Roman"/>
                <w:color w:val="000000"/>
                <w:lang w:eastAsia="en-AU"/>
              </w:rPr>
              <w:t>Warrialda</w:t>
            </w:r>
            <w:proofErr w:type="spellEnd"/>
          </w:p>
        </w:tc>
        <w:tc>
          <w:tcPr>
            <w:tcW w:w="1317" w:type="dxa"/>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54029</w:t>
            </w:r>
          </w:p>
        </w:tc>
        <w:tc>
          <w:tcPr>
            <w:tcW w:w="1639" w:type="dxa"/>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-29.54</w:t>
            </w:r>
          </w:p>
        </w:tc>
        <w:tc>
          <w:tcPr>
            <w:tcW w:w="1701" w:type="dxa"/>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150.58</w:t>
            </w:r>
          </w:p>
        </w:tc>
      </w:tr>
      <w:tr w:rsidR="00455775" w:rsidRPr="00DC7557" w:rsidTr="008B2897">
        <w:trPr>
          <w:trHeight w:val="347"/>
        </w:trPr>
        <w:tc>
          <w:tcPr>
            <w:tcW w:w="2353" w:type="dxa"/>
            <w:vMerge/>
            <w:tcBorders>
              <w:bottom w:val="single" w:sz="18" w:space="0" w:color="auto"/>
            </w:tcBorders>
            <w:shd w:val="clear" w:color="auto" w:fill="D9D9D9" w:themeFill="background1" w:themeFillShade="D9"/>
            <w:vAlign w:val="center"/>
          </w:tcPr>
          <w:p w:rsidR="00455775" w:rsidRPr="00DC7557" w:rsidRDefault="00455775" w:rsidP="002650AF">
            <w:pPr>
              <w:jc w:val="center"/>
              <w:rPr>
                <w:rFonts w:eastAsia="Times New Roman" w:cs="Times New Roman"/>
                <w:b/>
                <w:color w:val="000000"/>
                <w:lang w:eastAsia="en-AU"/>
              </w:rPr>
            </w:pPr>
          </w:p>
        </w:tc>
        <w:tc>
          <w:tcPr>
            <w:tcW w:w="2596" w:type="dxa"/>
            <w:tcBorders>
              <w:bottom w:val="single" w:sz="18" w:space="0" w:color="auto"/>
            </w:tcBorders>
            <w:shd w:val="clear" w:color="auto" w:fill="FFFF00"/>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Glen Innes</w:t>
            </w:r>
          </w:p>
        </w:tc>
        <w:tc>
          <w:tcPr>
            <w:tcW w:w="1317" w:type="dxa"/>
            <w:tcBorders>
              <w:bottom w:val="single" w:sz="18" w:space="0" w:color="auto"/>
            </w:tcBorders>
            <w:shd w:val="clear" w:color="auto" w:fill="FFFF00"/>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56011</w:t>
            </w:r>
          </w:p>
        </w:tc>
        <w:tc>
          <w:tcPr>
            <w:tcW w:w="1639" w:type="dxa"/>
            <w:tcBorders>
              <w:bottom w:val="single" w:sz="18" w:space="0" w:color="auto"/>
            </w:tcBorders>
            <w:shd w:val="clear" w:color="auto" w:fill="FFFF00"/>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-29.74</w:t>
            </w:r>
          </w:p>
        </w:tc>
        <w:tc>
          <w:tcPr>
            <w:tcW w:w="1701" w:type="dxa"/>
            <w:tcBorders>
              <w:bottom w:val="single" w:sz="18" w:space="0" w:color="auto"/>
            </w:tcBorders>
            <w:shd w:val="clear" w:color="auto" w:fill="FFFF00"/>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151.74</w:t>
            </w:r>
          </w:p>
        </w:tc>
      </w:tr>
      <w:tr w:rsidR="00455775" w:rsidRPr="00DC7557" w:rsidTr="002650AF">
        <w:trPr>
          <w:trHeight w:val="347"/>
        </w:trPr>
        <w:tc>
          <w:tcPr>
            <w:tcW w:w="2353" w:type="dxa"/>
            <w:vMerge w:val="restart"/>
            <w:tcBorders>
              <w:top w:val="single" w:sz="18" w:space="0" w:color="auto"/>
            </w:tcBorders>
            <w:shd w:val="clear" w:color="auto" w:fill="D9D9D9" w:themeFill="background1" w:themeFillShade="D9"/>
            <w:vAlign w:val="center"/>
          </w:tcPr>
          <w:p w:rsidR="00455775" w:rsidRPr="00DC7557" w:rsidRDefault="00455775" w:rsidP="002650AF">
            <w:pPr>
              <w:jc w:val="center"/>
              <w:rPr>
                <w:rFonts w:eastAsia="Times New Roman" w:cs="Times New Roman"/>
                <w:b/>
                <w:color w:val="000000"/>
                <w:lang w:eastAsia="en-AU"/>
              </w:rPr>
            </w:pPr>
            <w:r w:rsidRPr="00DC7557">
              <w:rPr>
                <w:rFonts w:eastAsia="Times New Roman" w:cs="Times New Roman"/>
                <w:b/>
                <w:color w:val="000000"/>
                <w:lang w:eastAsia="en-AU"/>
              </w:rPr>
              <w:t>North West</w:t>
            </w:r>
          </w:p>
        </w:tc>
        <w:tc>
          <w:tcPr>
            <w:tcW w:w="2596" w:type="dxa"/>
            <w:tcBorders>
              <w:top w:val="single" w:sz="18" w:space="0" w:color="auto"/>
            </w:tcBorders>
            <w:noWrap/>
            <w:vAlign w:val="center"/>
            <w:hideMark/>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Walgett</w:t>
            </w:r>
          </w:p>
        </w:tc>
        <w:tc>
          <w:tcPr>
            <w:tcW w:w="1317" w:type="dxa"/>
            <w:tcBorders>
              <w:top w:val="single" w:sz="18" w:space="0" w:color="auto"/>
            </w:tcBorders>
            <w:noWrap/>
            <w:vAlign w:val="center"/>
            <w:hideMark/>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48036</w:t>
            </w:r>
          </w:p>
        </w:tc>
        <w:tc>
          <w:tcPr>
            <w:tcW w:w="1639" w:type="dxa"/>
            <w:tcBorders>
              <w:top w:val="single" w:sz="18" w:space="0" w:color="auto"/>
            </w:tcBorders>
            <w:noWrap/>
            <w:vAlign w:val="center"/>
            <w:hideMark/>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-29.67</w:t>
            </w:r>
          </w:p>
        </w:tc>
        <w:tc>
          <w:tcPr>
            <w:tcW w:w="1701" w:type="dxa"/>
            <w:tcBorders>
              <w:top w:val="single" w:sz="18" w:space="0" w:color="auto"/>
            </w:tcBorders>
            <w:noWrap/>
            <w:vAlign w:val="center"/>
            <w:hideMark/>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148.11</w:t>
            </w:r>
          </w:p>
        </w:tc>
      </w:tr>
      <w:tr w:rsidR="00455775" w:rsidRPr="00DC7557" w:rsidTr="00455775">
        <w:trPr>
          <w:trHeight w:val="347"/>
        </w:trPr>
        <w:tc>
          <w:tcPr>
            <w:tcW w:w="2353" w:type="dxa"/>
            <w:vMerge/>
            <w:shd w:val="clear" w:color="auto" w:fill="D9D9D9" w:themeFill="background1" w:themeFillShade="D9"/>
            <w:vAlign w:val="center"/>
          </w:tcPr>
          <w:p w:rsidR="00455775" w:rsidRPr="00DC7557" w:rsidRDefault="00455775" w:rsidP="002650AF">
            <w:pPr>
              <w:jc w:val="center"/>
              <w:rPr>
                <w:rFonts w:eastAsia="Times New Roman" w:cs="Times New Roman"/>
                <w:b/>
                <w:color w:val="000000"/>
                <w:lang w:eastAsia="en-AU"/>
              </w:rPr>
            </w:pPr>
          </w:p>
        </w:tc>
        <w:tc>
          <w:tcPr>
            <w:tcW w:w="2596" w:type="dxa"/>
            <w:shd w:val="clear" w:color="auto" w:fill="FFFF00"/>
            <w:noWrap/>
            <w:vAlign w:val="center"/>
          </w:tcPr>
          <w:p w:rsidR="00455775" w:rsidRPr="00765491" w:rsidRDefault="00455775" w:rsidP="002650AF">
            <w:pPr>
              <w:jc w:val="center"/>
              <w:rPr>
                <w:rFonts w:eastAsia="Times New Roman" w:cs="Times New Roman"/>
                <w:color w:val="000000"/>
                <w:lang w:eastAsia="en-AU"/>
              </w:rPr>
            </w:pPr>
            <w:proofErr w:type="spellStart"/>
            <w:r w:rsidRPr="00765491">
              <w:rPr>
                <w:rFonts w:eastAsia="Times New Roman" w:cs="Times New Roman"/>
                <w:color w:val="000000"/>
                <w:lang w:eastAsia="en-AU"/>
              </w:rPr>
              <w:t>Gunnadah</w:t>
            </w:r>
            <w:proofErr w:type="spellEnd"/>
          </w:p>
        </w:tc>
        <w:tc>
          <w:tcPr>
            <w:tcW w:w="1317" w:type="dxa"/>
            <w:shd w:val="clear" w:color="auto" w:fill="FFFF00"/>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55024</w:t>
            </w:r>
          </w:p>
        </w:tc>
        <w:tc>
          <w:tcPr>
            <w:tcW w:w="1639" w:type="dxa"/>
            <w:shd w:val="clear" w:color="auto" w:fill="FFFF00"/>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-31.03</w:t>
            </w:r>
          </w:p>
        </w:tc>
        <w:tc>
          <w:tcPr>
            <w:tcW w:w="1701" w:type="dxa"/>
            <w:shd w:val="clear" w:color="auto" w:fill="FFFF00"/>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150.27</w:t>
            </w:r>
          </w:p>
        </w:tc>
      </w:tr>
      <w:tr w:rsidR="00455775" w:rsidRPr="00DC7557" w:rsidTr="002650AF">
        <w:trPr>
          <w:trHeight w:val="347"/>
        </w:trPr>
        <w:tc>
          <w:tcPr>
            <w:tcW w:w="2353" w:type="dxa"/>
            <w:vMerge/>
            <w:shd w:val="clear" w:color="auto" w:fill="D9D9D9" w:themeFill="background1" w:themeFillShade="D9"/>
            <w:vAlign w:val="center"/>
          </w:tcPr>
          <w:p w:rsidR="00455775" w:rsidRPr="00DC7557" w:rsidRDefault="00455775" w:rsidP="002650AF">
            <w:pPr>
              <w:jc w:val="center"/>
              <w:rPr>
                <w:rFonts w:eastAsia="Times New Roman" w:cs="Times New Roman"/>
                <w:b/>
                <w:color w:val="000000"/>
                <w:lang w:eastAsia="en-AU"/>
              </w:rPr>
            </w:pPr>
          </w:p>
        </w:tc>
        <w:tc>
          <w:tcPr>
            <w:tcW w:w="2596" w:type="dxa"/>
            <w:noWrap/>
            <w:vAlign w:val="center"/>
            <w:hideMark/>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Narrabri</w:t>
            </w:r>
          </w:p>
        </w:tc>
        <w:tc>
          <w:tcPr>
            <w:tcW w:w="1317" w:type="dxa"/>
            <w:noWrap/>
            <w:vAlign w:val="center"/>
            <w:hideMark/>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53030</w:t>
            </w:r>
          </w:p>
        </w:tc>
        <w:tc>
          <w:tcPr>
            <w:tcW w:w="1639" w:type="dxa"/>
            <w:noWrap/>
            <w:vAlign w:val="center"/>
            <w:hideMark/>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-30.34</w:t>
            </w:r>
          </w:p>
        </w:tc>
        <w:tc>
          <w:tcPr>
            <w:tcW w:w="1701" w:type="dxa"/>
            <w:noWrap/>
            <w:vAlign w:val="center"/>
            <w:hideMark/>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149.76</w:t>
            </w:r>
          </w:p>
        </w:tc>
      </w:tr>
      <w:tr w:rsidR="00455775" w:rsidRPr="00DC7557" w:rsidTr="00455775">
        <w:trPr>
          <w:trHeight w:val="347"/>
        </w:trPr>
        <w:tc>
          <w:tcPr>
            <w:tcW w:w="2353" w:type="dxa"/>
            <w:vMerge/>
            <w:tcBorders>
              <w:bottom w:val="single" w:sz="18" w:space="0" w:color="auto"/>
            </w:tcBorders>
            <w:shd w:val="clear" w:color="auto" w:fill="D9D9D9" w:themeFill="background1" w:themeFillShade="D9"/>
            <w:vAlign w:val="center"/>
          </w:tcPr>
          <w:p w:rsidR="00455775" w:rsidRPr="00DC7557" w:rsidRDefault="00455775" w:rsidP="002650AF">
            <w:pPr>
              <w:jc w:val="center"/>
              <w:rPr>
                <w:rFonts w:eastAsia="Times New Roman" w:cs="Times New Roman"/>
                <w:b/>
                <w:color w:val="000000"/>
                <w:lang w:eastAsia="en-AU"/>
              </w:rPr>
            </w:pPr>
          </w:p>
        </w:tc>
        <w:tc>
          <w:tcPr>
            <w:tcW w:w="2596" w:type="dxa"/>
            <w:tcBorders>
              <w:bottom w:val="single" w:sz="18" w:space="0" w:color="auto"/>
            </w:tcBorders>
            <w:shd w:val="clear" w:color="auto" w:fill="FFFF00"/>
            <w:noWrap/>
            <w:vAlign w:val="center"/>
            <w:hideMark/>
          </w:tcPr>
          <w:p w:rsidR="00455775" w:rsidRPr="00765491" w:rsidRDefault="00455775" w:rsidP="002650AF">
            <w:pPr>
              <w:jc w:val="center"/>
              <w:rPr>
                <w:rFonts w:eastAsia="Times New Roman" w:cs="Times New Roman"/>
                <w:color w:val="000000"/>
                <w:lang w:eastAsia="en-AU"/>
              </w:rPr>
            </w:pPr>
            <w:proofErr w:type="spellStart"/>
            <w:r>
              <w:rPr>
                <w:rFonts w:eastAsia="Times New Roman" w:cs="Times New Roman"/>
                <w:color w:val="000000"/>
                <w:lang w:eastAsia="en-AU"/>
              </w:rPr>
              <w:t>Pallawallama</w:t>
            </w:r>
            <w:proofErr w:type="spellEnd"/>
            <w:r>
              <w:rPr>
                <w:rFonts w:eastAsia="Times New Roman" w:cs="Times New Roman"/>
                <w:color w:val="000000"/>
                <w:lang w:eastAsia="en-AU"/>
              </w:rPr>
              <w:t>/</w:t>
            </w:r>
            <w:r w:rsidRPr="00765491">
              <w:rPr>
                <w:rFonts w:eastAsia="Times New Roman" w:cs="Times New Roman"/>
                <w:color w:val="000000"/>
                <w:lang w:eastAsia="en-AU"/>
              </w:rPr>
              <w:t>Moree</w:t>
            </w:r>
          </w:p>
        </w:tc>
        <w:tc>
          <w:tcPr>
            <w:tcW w:w="1317" w:type="dxa"/>
            <w:tcBorders>
              <w:bottom w:val="single" w:sz="18" w:space="0" w:color="auto"/>
            </w:tcBorders>
            <w:shd w:val="clear" w:color="auto" w:fill="FFFF00"/>
            <w:noWrap/>
            <w:vAlign w:val="center"/>
            <w:hideMark/>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53033</w:t>
            </w:r>
          </w:p>
        </w:tc>
        <w:tc>
          <w:tcPr>
            <w:tcW w:w="1639" w:type="dxa"/>
            <w:tcBorders>
              <w:bottom w:val="single" w:sz="18" w:space="0" w:color="auto"/>
            </w:tcBorders>
            <w:shd w:val="clear" w:color="auto" w:fill="FFFF00"/>
            <w:noWrap/>
            <w:vAlign w:val="center"/>
            <w:hideMark/>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-29.47</w:t>
            </w:r>
          </w:p>
        </w:tc>
        <w:tc>
          <w:tcPr>
            <w:tcW w:w="1701" w:type="dxa"/>
            <w:tcBorders>
              <w:bottom w:val="single" w:sz="18" w:space="0" w:color="auto"/>
            </w:tcBorders>
            <w:shd w:val="clear" w:color="auto" w:fill="FFFF00"/>
            <w:noWrap/>
            <w:vAlign w:val="center"/>
            <w:hideMark/>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150.14</w:t>
            </w:r>
          </w:p>
        </w:tc>
      </w:tr>
      <w:tr w:rsidR="00455775" w:rsidRPr="00DC7557" w:rsidTr="002650AF">
        <w:trPr>
          <w:trHeight w:val="347"/>
        </w:trPr>
        <w:tc>
          <w:tcPr>
            <w:tcW w:w="2353" w:type="dxa"/>
            <w:vMerge w:val="restart"/>
            <w:tcBorders>
              <w:top w:val="single" w:sz="18" w:space="0" w:color="auto"/>
            </w:tcBorders>
            <w:shd w:val="clear" w:color="auto" w:fill="D9D9D9" w:themeFill="background1" w:themeFillShade="D9"/>
            <w:vAlign w:val="center"/>
          </w:tcPr>
          <w:p w:rsidR="00455775" w:rsidRPr="00DC7557" w:rsidRDefault="00455775" w:rsidP="002650AF">
            <w:pPr>
              <w:jc w:val="center"/>
              <w:rPr>
                <w:rFonts w:eastAsia="Times New Roman" w:cs="Times New Roman"/>
                <w:b/>
                <w:color w:val="000000"/>
                <w:lang w:eastAsia="en-AU"/>
              </w:rPr>
            </w:pPr>
            <w:r w:rsidRPr="00DC7557">
              <w:rPr>
                <w:rFonts w:eastAsia="Times New Roman" w:cs="Times New Roman"/>
                <w:b/>
                <w:color w:val="000000"/>
                <w:lang w:eastAsia="en-AU"/>
              </w:rPr>
              <w:t>Central West</w:t>
            </w:r>
          </w:p>
        </w:tc>
        <w:tc>
          <w:tcPr>
            <w:tcW w:w="2596" w:type="dxa"/>
            <w:tcBorders>
              <w:top w:val="single" w:sz="18" w:space="0" w:color="auto"/>
            </w:tcBorders>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Nyngan</w:t>
            </w:r>
          </w:p>
        </w:tc>
        <w:tc>
          <w:tcPr>
            <w:tcW w:w="1317" w:type="dxa"/>
            <w:tcBorders>
              <w:top w:val="single" w:sz="18" w:space="0" w:color="auto"/>
            </w:tcBorders>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51031</w:t>
            </w:r>
          </w:p>
        </w:tc>
        <w:tc>
          <w:tcPr>
            <w:tcW w:w="1639" w:type="dxa"/>
            <w:tcBorders>
              <w:top w:val="single" w:sz="18" w:space="0" w:color="auto"/>
            </w:tcBorders>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-31.64</w:t>
            </w:r>
          </w:p>
        </w:tc>
        <w:tc>
          <w:tcPr>
            <w:tcW w:w="1701" w:type="dxa"/>
            <w:tcBorders>
              <w:top w:val="single" w:sz="18" w:space="0" w:color="auto"/>
            </w:tcBorders>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147.32</w:t>
            </w:r>
          </w:p>
        </w:tc>
      </w:tr>
      <w:tr w:rsidR="00455775" w:rsidRPr="00DC7557" w:rsidTr="002650AF">
        <w:trPr>
          <w:trHeight w:val="347"/>
        </w:trPr>
        <w:tc>
          <w:tcPr>
            <w:tcW w:w="2353" w:type="dxa"/>
            <w:vMerge/>
            <w:shd w:val="clear" w:color="auto" w:fill="D9D9D9" w:themeFill="background1" w:themeFillShade="D9"/>
            <w:vAlign w:val="center"/>
          </w:tcPr>
          <w:p w:rsidR="00455775" w:rsidRPr="00DC7557" w:rsidRDefault="00455775" w:rsidP="002650AF">
            <w:pPr>
              <w:jc w:val="center"/>
              <w:rPr>
                <w:rFonts w:eastAsia="Times New Roman" w:cs="Times New Roman"/>
                <w:b/>
                <w:color w:val="000000"/>
                <w:lang w:eastAsia="en-AU"/>
              </w:rPr>
            </w:pPr>
          </w:p>
        </w:tc>
        <w:tc>
          <w:tcPr>
            <w:tcW w:w="2596" w:type="dxa"/>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Gilgandra</w:t>
            </w:r>
          </w:p>
        </w:tc>
        <w:tc>
          <w:tcPr>
            <w:tcW w:w="1317" w:type="dxa"/>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64024</w:t>
            </w:r>
          </w:p>
        </w:tc>
        <w:tc>
          <w:tcPr>
            <w:tcW w:w="1639" w:type="dxa"/>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-31.56</w:t>
            </w:r>
          </w:p>
        </w:tc>
        <w:tc>
          <w:tcPr>
            <w:tcW w:w="1701" w:type="dxa"/>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148.95</w:t>
            </w:r>
          </w:p>
        </w:tc>
      </w:tr>
      <w:tr w:rsidR="00455775" w:rsidRPr="00DC7557" w:rsidTr="00455775">
        <w:trPr>
          <w:trHeight w:val="347"/>
        </w:trPr>
        <w:tc>
          <w:tcPr>
            <w:tcW w:w="2353" w:type="dxa"/>
            <w:vMerge/>
            <w:tcBorders>
              <w:bottom w:val="single" w:sz="18" w:space="0" w:color="auto"/>
            </w:tcBorders>
            <w:shd w:val="clear" w:color="auto" w:fill="D9D9D9" w:themeFill="background1" w:themeFillShade="D9"/>
            <w:vAlign w:val="center"/>
          </w:tcPr>
          <w:p w:rsidR="00455775" w:rsidRPr="00DC7557" w:rsidRDefault="00455775" w:rsidP="002650AF">
            <w:pPr>
              <w:jc w:val="center"/>
              <w:rPr>
                <w:rFonts w:eastAsia="Times New Roman" w:cs="Times New Roman"/>
                <w:b/>
                <w:color w:val="000000"/>
                <w:lang w:eastAsia="en-AU"/>
              </w:rPr>
            </w:pPr>
          </w:p>
        </w:tc>
        <w:tc>
          <w:tcPr>
            <w:tcW w:w="2596" w:type="dxa"/>
            <w:tcBorders>
              <w:bottom w:val="single" w:sz="18" w:space="0" w:color="auto"/>
            </w:tcBorders>
            <w:shd w:val="clear" w:color="auto" w:fill="FFFF00"/>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Dubbo</w:t>
            </w:r>
          </w:p>
        </w:tc>
        <w:tc>
          <w:tcPr>
            <w:tcW w:w="1317" w:type="dxa"/>
            <w:tcBorders>
              <w:bottom w:val="single" w:sz="18" w:space="0" w:color="auto"/>
            </w:tcBorders>
            <w:shd w:val="clear" w:color="auto" w:fill="FFFF00"/>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65012</w:t>
            </w:r>
          </w:p>
        </w:tc>
        <w:tc>
          <w:tcPr>
            <w:tcW w:w="1639" w:type="dxa"/>
            <w:tcBorders>
              <w:bottom w:val="single" w:sz="18" w:space="0" w:color="auto"/>
            </w:tcBorders>
            <w:shd w:val="clear" w:color="auto" w:fill="FFFF00"/>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-32.24</w:t>
            </w:r>
          </w:p>
        </w:tc>
        <w:tc>
          <w:tcPr>
            <w:tcW w:w="1701" w:type="dxa"/>
            <w:tcBorders>
              <w:bottom w:val="single" w:sz="18" w:space="0" w:color="auto"/>
            </w:tcBorders>
            <w:shd w:val="clear" w:color="auto" w:fill="FFFF00"/>
            <w:noWrap/>
            <w:vAlign w:val="center"/>
          </w:tcPr>
          <w:p w:rsidR="00455775" w:rsidRPr="00765491" w:rsidRDefault="00455775" w:rsidP="002650AF">
            <w:pPr>
              <w:jc w:val="center"/>
              <w:rPr>
                <w:rFonts w:eastAsia="Times New Roman" w:cs="Times New Roman"/>
                <w:color w:val="000000"/>
                <w:lang w:eastAsia="en-AU"/>
              </w:rPr>
            </w:pPr>
            <w:r w:rsidRPr="00765491">
              <w:rPr>
                <w:rFonts w:eastAsia="Times New Roman" w:cs="Times New Roman"/>
                <w:color w:val="000000"/>
                <w:lang w:eastAsia="en-AU"/>
              </w:rPr>
              <w:t>148.61</w:t>
            </w:r>
          </w:p>
        </w:tc>
      </w:tr>
    </w:tbl>
    <w:p w:rsidR="0022101B" w:rsidRPr="000717E4" w:rsidRDefault="003D7AF3" w:rsidP="000717E4">
      <w:pPr>
        <w:spacing w:line="360" w:lineRule="auto"/>
        <w:jc w:val="both"/>
        <w:rPr>
          <w:b/>
        </w:rPr>
      </w:pPr>
      <w:proofErr w:type="gramStart"/>
      <w:r>
        <w:rPr>
          <w:b/>
        </w:rPr>
        <w:t>Table 1.</w:t>
      </w:r>
      <w:proofErr w:type="gramEnd"/>
      <w:r>
        <w:rPr>
          <w:b/>
        </w:rPr>
        <w:t xml:space="preserve"> </w:t>
      </w:r>
      <w:proofErr w:type="gramStart"/>
      <w:r w:rsidRPr="003D7AF3">
        <w:t>The CS locations for in-depth analysis and modelling.</w:t>
      </w:r>
      <w:proofErr w:type="gramEnd"/>
      <w:r w:rsidRPr="003D7AF3">
        <w:t xml:space="preserve"> The highlighted locations have been used for temporal analogue analysis.</w:t>
      </w:r>
    </w:p>
    <w:p w:rsidR="00DA5295" w:rsidRDefault="00DA5295">
      <w:pPr>
        <w:rPr>
          <w:b/>
        </w:rPr>
      </w:pPr>
      <w:r>
        <w:rPr>
          <w:b/>
        </w:rPr>
        <w:br w:type="page"/>
      </w:r>
    </w:p>
    <w:p w:rsidR="003B4375" w:rsidRDefault="00CD5A2E" w:rsidP="007B639B">
      <w:pPr>
        <w:rPr>
          <w:b/>
        </w:rPr>
      </w:pPr>
      <w:r>
        <w:rPr>
          <w:b/>
        </w:rPr>
        <w:lastRenderedPageBreak/>
        <w:t>References</w:t>
      </w:r>
    </w:p>
    <w:p w:rsidR="00BB43DC" w:rsidRPr="003F3976" w:rsidRDefault="00BB43DC" w:rsidP="00BB43DC">
      <w:pPr>
        <w:autoSpaceDE w:val="0"/>
        <w:autoSpaceDN w:val="0"/>
        <w:adjustRightInd w:val="0"/>
        <w:spacing w:after="0" w:line="240" w:lineRule="auto"/>
        <w:rPr>
          <w:rFonts w:cs="Times New Roman"/>
        </w:rPr>
      </w:pPr>
      <w:r w:rsidRPr="003F3976">
        <w:rPr>
          <w:rFonts w:cs="Times New Roman"/>
        </w:rPr>
        <w:t>Adam, D., 2007. Heat, dust, and water piped in from Scotland. Welcome to London 2</w:t>
      </w:r>
      <w:r w:rsidR="003F3976">
        <w:rPr>
          <w:rFonts w:cs="Times New Roman"/>
        </w:rPr>
        <w:t xml:space="preserve">071. Climate change map sends 12 </w:t>
      </w:r>
      <w:r w:rsidRPr="003F3976">
        <w:rPr>
          <w:rFonts w:cs="Times New Roman"/>
        </w:rPr>
        <w:t xml:space="preserve">capitals further south. </w:t>
      </w:r>
      <w:proofErr w:type="gramStart"/>
      <w:r w:rsidRPr="003F3976">
        <w:rPr>
          <w:rFonts w:cs="Times New Roman"/>
        </w:rPr>
        <w:t xml:space="preserve">Warning to planners on future design of cities, The Guardian, </w:t>
      </w:r>
      <w:hyperlink r:id="rId8" w:history="1">
        <w:r w:rsidR="003F3976" w:rsidRPr="00E27B15">
          <w:rPr>
            <w:rStyle w:val="Hyperlink"/>
            <w:rFonts w:cs="Times New Roman"/>
          </w:rPr>
          <w:t>http://environment.guardian.co.uk/</w:t>
        </w:r>
      </w:hyperlink>
      <w:r w:rsidR="003F3976">
        <w:rPr>
          <w:rFonts w:cs="Times New Roman"/>
        </w:rPr>
        <w:t xml:space="preserve"> </w:t>
      </w:r>
      <w:proofErr w:type="spellStart"/>
      <w:r w:rsidRPr="003F3976">
        <w:rPr>
          <w:rFonts w:cs="Times New Roman"/>
        </w:rPr>
        <w:t>climatechange</w:t>
      </w:r>
      <w:proofErr w:type="spellEnd"/>
      <w:r w:rsidRPr="003F3976">
        <w:rPr>
          <w:rFonts w:cs="Times New Roman"/>
        </w:rPr>
        <w:t>/story/0,,2079750,00.html, 2007.</w:t>
      </w:r>
      <w:proofErr w:type="gramEnd"/>
      <w:r w:rsidRPr="003F3976">
        <w:rPr>
          <w:rFonts w:cs="Times New Roman"/>
        </w:rPr>
        <w:t xml:space="preserve"> </w:t>
      </w:r>
    </w:p>
    <w:p w:rsidR="00BB43DC" w:rsidRPr="003F3976" w:rsidRDefault="00BB43DC" w:rsidP="00BB43DC">
      <w:pPr>
        <w:autoSpaceDE w:val="0"/>
        <w:autoSpaceDN w:val="0"/>
        <w:adjustRightInd w:val="0"/>
        <w:spacing w:after="0" w:line="240" w:lineRule="auto"/>
        <w:rPr>
          <w:rFonts w:cs="Times New Roman"/>
        </w:rPr>
      </w:pPr>
    </w:p>
    <w:p w:rsidR="00A624B9" w:rsidRPr="003F3976" w:rsidRDefault="00A624B9" w:rsidP="00A624B9">
      <w:pPr>
        <w:autoSpaceDE w:val="0"/>
        <w:autoSpaceDN w:val="0"/>
        <w:adjustRightInd w:val="0"/>
        <w:spacing w:after="0" w:line="240" w:lineRule="auto"/>
        <w:rPr>
          <w:rFonts w:cs="Times New Roman"/>
        </w:rPr>
      </w:pPr>
      <w:proofErr w:type="gramStart"/>
      <w:r w:rsidRPr="003F3976">
        <w:rPr>
          <w:rFonts w:cs="Times New Roman"/>
        </w:rPr>
        <w:t xml:space="preserve">Darwin, R., </w:t>
      </w:r>
      <w:proofErr w:type="spellStart"/>
      <w:r w:rsidRPr="003F3976">
        <w:rPr>
          <w:rFonts w:cs="Times New Roman"/>
        </w:rPr>
        <w:t>Tsigas</w:t>
      </w:r>
      <w:proofErr w:type="spellEnd"/>
      <w:r w:rsidRPr="003F3976">
        <w:rPr>
          <w:rFonts w:cs="Times New Roman"/>
        </w:rPr>
        <w:t xml:space="preserve">, M., </w:t>
      </w:r>
      <w:proofErr w:type="spellStart"/>
      <w:r w:rsidRPr="003F3976">
        <w:rPr>
          <w:rFonts w:cs="Times New Roman"/>
        </w:rPr>
        <w:t>Lewandrowski</w:t>
      </w:r>
      <w:proofErr w:type="spellEnd"/>
      <w:r w:rsidRPr="003F3976">
        <w:rPr>
          <w:rFonts w:cs="Times New Roman"/>
        </w:rPr>
        <w:t xml:space="preserve">, J., and </w:t>
      </w:r>
      <w:proofErr w:type="spellStart"/>
      <w:r w:rsidRPr="003F3976">
        <w:rPr>
          <w:rFonts w:cs="Times New Roman"/>
        </w:rPr>
        <w:t>Raneses</w:t>
      </w:r>
      <w:proofErr w:type="spellEnd"/>
      <w:r w:rsidRPr="003F3976">
        <w:rPr>
          <w:rFonts w:cs="Times New Roman"/>
        </w:rPr>
        <w:t>, A., 1995.</w:t>
      </w:r>
      <w:proofErr w:type="gramEnd"/>
      <w:r w:rsidRPr="003F3976">
        <w:rPr>
          <w:rFonts w:cs="Times New Roman"/>
        </w:rPr>
        <w:t xml:space="preserve"> World Agriculture and Climate Change: Economic Adaptations, Tech. Rep. AER-703, U.S. Department of Agriculture, </w:t>
      </w:r>
      <w:hyperlink r:id="rId9" w:history="1">
        <w:r w:rsidRPr="003F3976">
          <w:rPr>
            <w:rStyle w:val="Hyperlink"/>
            <w:rFonts w:cs="Times New Roman"/>
          </w:rPr>
          <w:t>http://www.ers</w:t>
        </w:r>
      </w:hyperlink>
      <w:r w:rsidRPr="003F3976">
        <w:rPr>
          <w:rFonts w:cs="Times New Roman"/>
        </w:rPr>
        <w:t>. usda.gov/publications/aer703/, 1995.</w:t>
      </w:r>
    </w:p>
    <w:p w:rsidR="00A624B9" w:rsidRPr="003F3976" w:rsidRDefault="00A624B9" w:rsidP="00CD5A2E">
      <w:pPr>
        <w:autoSpaceDE w:val="0"/>
        <w:autoSpaceDN w:val="0"/>
        <w:adjustRightInd w:val="0"/>
        <w:spacing w:after="0" w:line="240" w:lineRule="auto"/>
        <w:rPr>
          <w:rFonts w:cs="Times New Roman"/>
        </w:rPr>
      </w:pPr>
    </w:p>
    <w:p w:rsidR="00CD5A2E" w:rsidRPr="003F3976" w:rsidRDefault="00CD5A2E" w:rsidP="00CD5A2E">
      <w:pPr>
        <w:autoSpaceDE w:val="0"/>
        <w:autoSpaceDN w:val="0"/>
        <w:adjustRightInd w:val="0"/>
        <w:spacing w:after="0" w:line="240" w:lineRule="auto"/>
        <w:rPr>
          <w:rFonts w:cs="Times New Roman"/>
        </w:rPr>
      </w:pPr>
      <w:proofErr w:type="spellStart"/>
      <w:proofErr w:type="gramStart"/>
      <w:r w:rsidRPr="003F3976">
        <w:rPr>
          <w:rFonts w:cs="Times New Roman"/>
        </w:rPr>
        <w:t>Hallegatte</w:t>
      </w:r>
      <w:proofErr w:type="spellEnd"/>
      <w:r w:rsidRPr="003F3976">
        <w:rPr>
          <w:rFonts w:cs="Times New Roman"/>
        </w:rPr>
        <w:t xml:space="preserve">, S., </w:t>
      </w:r>
      <w:proofErr w:type="spellStart"/>
      <w:r w:rsidRPr="003F3976">
        <w:rPr>
          <w:rFonts w:cs="Times New Roman"/>
        </w:rPr>
        <w:t>Hourcade</w:t>
      </w:r>
      <w:proofErr w:type="spellEnd"/>
      <w:r w:rsidRPr="003F3976">
        <w:rPr>
          <w:rFonts w:cs="Times New Roman"/>
        </w:rPr>
        <w:t xml:space="preserve">, J.-C., and </w:t>
      </w:r>
      <w:proofErr w:type="spellStart"/>
      <w:r w:rsidRPr="003F3976">
        <w:rPr>
          <w:rFonts w:cs="Times New Roman"/>
        </w:rPr>
        <w:t>Ambrosi</w:t>
      </w:r>
      <w:proofErr w:type="spellEnd"/>
      <w:r w:rsidRPr="003F3976">
        <w:rPr>
          <w:rFonts w:cs="Times New Roman"/>
        </w:rPr>
        <w:t>, P., 2007.</w:t>
      </w:r>
      <w:proofErr w:type="gramEnd"/>
      <w:r w:rsidRPr="003F3976">
        <w:rPr>
          <w:rFonts w:cs="Times New Roman"/>
        </w:rPr>
        <w:t xml:space="preserve">  Using climate analogues for assessing climate change economic</w:t>
      </w:r>
      <w:r w:rsidR="003F3976">
        <w:rPr>
          <w:rFonts w:cs="Times New Roman"/>
        </w:rPr>
        <w:t xml:space="preserve"> </w:t>
      </w:r>
      <w:r w:rsidRPr="003F3976">
        <w:rPr>
          <w:rFonts w:cs="Times New Roman"/>
        </w:rPr>
        <w:t>impacts in urban areas</w:t>
      </w:r>
      <w:proofErr w:type="gramStart"/>
      <w:r w:rsidRPr="003F3976">
        <w:rPr>
          <w:rFonts w:cs="Times New Roman"/>
        </w:rPr>
        <w:t xml:space="preserve">,  </w:t>
      </w:r>
      <w:proofErr w:type="spellStart"/>
      <w:r w:rsidRPr="003F3976">
        <w:rPr>
          <w:rFonts w:cs="Times New Roman"/>
        </w:rPr>
        <w:t>Clim</w:t>
      </w:r>
      <w:proofErr w:type="spellEnd"/>
      <w:proofErr w:type="gramEnd"/>
      <w:r w:rsidRPr="003F3976">
        <w:rPr>
          <w:rFonts w:cs="Times New Roman"/>
        </w:rPr>
        <w:t xml:space="preserve">. Change, 82, 47–60. </w:t>
      </w:r>
    </w:p>
    <w:p w:rsidR="00CD5A2E" w:rsidRPr="003F3976" w:rsidRDefault="00CD5A2E" w:rsidP="00CD5A2E">
      <w:pPr>
        <w:autoSpaceDE w:val="0"/>
        <w:autoSpaceDN w:val="0"/>
        <w:adjustRightInd w:val="0"/>
        <w:spacing w:after="0" w:line="240" w:lineRule="auto"/>
        <w:rPr>
          <w:rFonts w:cs="Times New Roman"/>
          <w:bCs/>
        </w:rPr>
      </w:pPr>
    </w:p>
    <w:p w:rsidR="003B4375" w:rsidRPr="003F3976" w:rsidRDefault="003B4375" w:rsidP="003B4375">
      <w:pPr>
        <w:autoSpaceDE w:val="0"/>
        <w:autoSpaceDN w:val="0"/>
        <w:adjustRightInd w:val="0"/>
        <w:spacing w:after="0" w:line="240" w:lineRule="auto"/>
        <w:rPr>
          <w:rFonts w:cs="Times New Roman"/>
        </w:rPr>
      </w:pPr>
      <w:proofErr w:type="gramStart"/>
      <w:r w:rsidRPr="003F3976">
        <w:rPr>
          <w:rFonts w:cs="Times New Roman"/>
          <w:bCs/>
        </w:rPr>
        <w:t xml:space="preserve">Kopf, S., M. Ha-Duong, and S. </w:t>
      </w:r>
      <w:proofErr w:type="spellStart"/>
      <w:r w:rsidRPr="003F3976">
        <w:rPr>
          <w:rFonts w:cs="Times New Roman"/>
          <w:bCs/>
        </w:rPr>
        <w:t>Hallegatte</w:t>
      </w:r>
      <w:proofErr w:type="spellEnd"/>
      <w:r w:rsidRPr="003F3976">
        <w:rPr>
          <w:rFonts w:cs="Times New Roman"/>
        </w:rPr>
        <w:t xml:space="preserve"> 2008.</w:t>
      </w:r>
      <w:proofErr w:type="gramEnd"/>
      <w:r w:rsidRPr="003F3976">
        <w:rPr>
          <w:rFonts w:cs="Times New Roman"/>
        </w:rPr>
        <w:t xml:space="preserve"> </w:t>
      </w:r>
      <w:r w:rsidRPr="003F3976">
        <w:rPr>
          <w:rFonts w:cs="Times New Roman"/>
          <w:bCs/>
        </w:rPr>
        <w:t>Using maps of city analogues to display and interpret climate change scenarios and their uncertainty</w:t>
      </w:r>
      <w:r w:rsidRPr="003F3976">
        <w:rPr>
          <w:rFonts w:cs="MTSYN"/>
        </w:rPr>
        <w:t xml:space="preserve">. </w:t>
      </w:r>
      <w:r w:rsidRPr="003F3976">
        <w:rPr>
          <w:rFonts w:cs="Times New Roman"/>
        </w:rPr>
        <w:t xml:space="preserve">Nat. Hazards Earth Syst. Sci., 8, 905–918. </w:t>
      </w:r>
    </w:p>
    <w:p w:rsidR="003B4375" w:rsidRPr="003F3976" w:rsidRDefault="003B4375" w:rsidP="003B4375"/>
    <w:p w:rsidR="00CD5A2E" w:rsidRPr="003F3976" w:rsidRDefault="007B639B" w:rsidP="00CD5A2E">
      <w:pPr>
        <w:autoSpaceDE w:val="0"/>
        <w:autoSpaceDN w:val="0"/>
        <w:adjustRightInd w:val="0"/>
        <w:spacing w:after="0" w:line="240" w:lineRule="auto"/>
        <w:rPr>
          <w:rFonts w:cs="Times New Roman"/>
        </w:rPr>
      </w:pPr>
      <w:r w:rsidRPr="003F3976">
        <w:t xml:space="preserve"> </w:t>
      </w:r>
      <w:proofErr w:type="spellStart"/>
      <w:r w:rsidR="00CD5A2E" w:rsidRPr="003F3976">
        <w:rPr>
          <w:rFonts w:cs="Times New Roman"/>
        </w:rPr>
        <w:t>Mearns</w:t>
      </w:r>
      <w:proofErr w:type="spellEnd"/>
      <w:r w:rsidR="00CD5A2E" w:rsidRPr="003F3976">
        <w:rPr>
          <w:rFonts w:cs="Times New Roman"/>
        </w:rPr>
        <w:t xml:space="preserve">, L. O., </w:t>
      </w:r>
      <w:proofErr w:type="spellStart"/>
      <w:r w:rsidR="00CD5A2E" w:rsidRPr="003F3976">
        <w:rPr>
          <w:rFonts w:cs="Times New Roman"/>
        </w:rPr>
        <w:t>Hulme</w:t>
      </w:r>
      <w:proofErr w:type="spellEnd"/>
      <w:r w:rsidR="00CD5A2E" w:rsidRPr="003F3976">
        <w:rPr>
          <w:rFonts w:cs="Times New Roman"/>
        </w:rPr>
        <w:t xml:space="preserve">, M., Carter, T. R., </w:t>
      </w:r>
      <w:proofErr w:type="spellStart"/>
      <w:r w:rsidR="00CD5A2E" w:rsidRPr="003F3976">
        <w:rPr>
          <w:rFonts w:cs="Times New Roman"/>
        </w:rPr>
        <w:t>Leemans</w:t>
      </w:r>
      <w:proofErr w:type="spellEnd"/>
      <w:r w:rsidR="00CD5A2E" w:rsidRPr="003F3976">
        <w:rPr>
          <w:rFonts w:cs="Times New Roman"/>
        </w:rPr>
        <w:t>, R., Lal, M.</w:t>
      </w:r>
      <w:proofErr w:type="gramStart"/>
      <w:r w:rsidR="00CD5A2E" w:rsidRPr="003F3976">
        <w:rPr>
          <w:rFonts w:cs="Times New Roman"/>
        </w:rPr>
        <w:t>,  and</w:t>
      </w:r>
      <w:proofErr w:type="gramEnd"/>
      <w:r w:rsidR="00CD5A2E" w:rsidRPr="003F3976">
        <w:rPr>
          <w:rFonts w:cs="Times New Roman"/>
        </w:rPr>
        <w:t xml:space="preserve"> </w:t>
      </w:r>
      <w:proofErr w:type="spellStart"/>
      <w:r w:rsidR="00CD5A2E" w:rsidRPr="003F3976">
        <w:rPr>
          <w:rFonts w:cs="Times New Roman"/>
        </w:rPr>
        <w:t>Whetton</w:t>
      </w:r>
      <w:proofErr w:type="spellEnd"/>
      <w:r w:rsidR="00CD5A2E" w:rsidRPr="003F3976">
        <w:rPr>
          <w:rFonts w:cs="Times New Roman"/>
        </w:rPr>
        <w:t xml:space="preserve">, P., 2001.  Climate scenario development, in: Climate Change 2001: The Scientific Basis, edited by: Houghton, J. T., Ding, Y., Griggs, D. J., </w:t>
      </w:r>
      <w:proofErr w:type="spellStart"/>
      <w:r w:rsidR="00CD5A2E" w:rsidRPr="003F3976">
        <w:rPr>
          <w:rFonts w:cs="Times New Roman"/>
        </w:rPr>
        <w:t>Noguer</w:t>
      </w:r>
      <w:proofErr w:type="spellEnd"/>
      <w:r w:rsidR="00CD5A2E" w:rsidRPr="003F3976">
        <w:rPr>
          <w:rFonts w:cs="Times New Roman"/>
        </w:rPr>
        <w:t xml:space="preserve">, M., van der Linden, P. J., Dai, X., </w:t>
      </w:r>
      <w:proofErr w:type="spellStart"/>
      <w:r w:rsidR="00CD5A2E" w:rsidRPr="003F3976">
        <w:rPr>
          <w:rFonts w:cs="Times New Roman"/>
        </w:rPr>
        <w:t>Maskell</w:t>
      </w:r>
      <w:proofErr w:type="spellEnd"/>
      <w:r w:rsidR="00CD5A2E" w:rsidRPr="003F3976">
        <w:rPr>
          <w:rFonts w:cs="Times New Roman"/>
        </w:rPr>
        <w:t xml:space="preserve">, K., and Johnson, C. A., chap. 13, Cambridge University Press, </w:t>
      </w:r>
      <w:hyperlink r:id="rId10" w:history="1">
        <w:r w:rsidR="00CD5A2E" w:rsidRPr="003F3976">
          <w:rPr>
            <w:rStyle w:val="Hyperlink"/>
            <w:rFonts w:cs="Times New Roman"/>
          </w:rPr>
          <w:t>http://www.grida.no/CLIMATE/IPCC TAR/WG1/</w:t>
        </w:r>
      </w:hyperlink>
      <w:r w:rsidR="00CD5A2E" w:rsidRPr="003F3976">
        <w:rPr>
          <w:rFonts w:cs="Times New Roman"/>
        </w:rPr>
        <w:t xml:space="preserve"> index.htm, 2001.</w:t>
      </w:r>
    </w:p>
    <w:p w:rsidR="005A1365" w:rsidRPr="003F3976" w:rsidRDefault="005A1365" w:rsidP="00CD5A2E">
      <w:pPr>
        <w:autoSpaceDE w:val="0"/>
        <w:autoSpaceDN w:val="0"/>
        <w:adjustRightInd w:val="0"/>
        <w:spacing w:after="0" w:line="240" w:lineRule="auto"/>
        <w:rPr>
          <w:rFonts w:cs="Times New Roman"/>
        </w:rPr>
      </w:pPr>
    </w:p>
    <w:p w:rsidR="007B639B" w:rsidRPr="003F3976" w:rsidRDefault="00CD5A2E" w:rsidP="00CD5A2E">
      <w:pPr>
        <w:autoSpaceDE w:val="0"/>
        <w:autoSpaceDN w:val="0"/>
        <w:adjustRightInd w:val="0"/>
        <w:spacing w:after="0" w:line="240" w:lineRule="auto"/>
        <w:rPr>
          <w:rFonts w:cs="Times New Roman"/>
        </w:rPr>
      </w:pPr>
      <w:r w:rsidRPr="003F3976">
        <w:rPr>
          <w:rFonts w:cs="Times New Roman"/>
        </w:rPr>
        <w:t xml:space="preserve">Mendelsohn, R. and Dinar, </w:t>
      </w:r>
      <w:proofErr w:type="gramStart"/>
      <w:r w:rsidRPr="003F3976">
        <w:rPr>
          <w:rFonts w:cs="Times New Roman"/>
        </w:rPr>
        <w:t>A</w:t>
      </w:r>
      <w:proofErr w:type="gramEnd"/>
      <w:r w:rsidRPr="003F3976">
        <w:rPr>
          <w:rFonts w:cs="Times New Roman"/>
        </w:rPr>
        <w:t>.., 1999.  Climate change, agriculture, and developing countries: Does adaptation matter</w:t>
      </w:r>
      <w:proofErr w:type="gramStart"/>
      <w:r w:rsidRPr="003F3976">
        <w:rPr>
          <w:rFonts w:cs="Times New Roman"/>
        </w:rPr>
        <w:t>?,</w:t>
      </w:r>
      <w:proofErr w:type="gramEnd"/>
      <w:r w:rsidRPr="003F3976">
        <w:rPr>
          <w:rFonts w:cs="Times New Roman"/>
        </w:rPr>
        <w:t xml:space="preserve"> The World Bank Observer, 14, 277–293, 1999.</w:t>
      </w:r>
    </w:p>
    <w:p w:rsidR="007D3402" w:rsidRPr="003F3976" w:rsidRDefault="007D3402" w:rsidP="00CD5A2E">
      <w:pPr>
        <w:autoSpaceDE w:val="0"/>
        <w:autoSpaceDN w:val="0"/>
        <w:adjustRightInd w:val="0"/>
        <w:spacing w:after="0" w:line="240" w:lineRule="auto"/>
        <w:rPr>
          <w:rFonts w:cs="Times New Roman"/>
        </w:rPr>
      </w:pPr>
    </w:p>
    <w:p w:rsidR="007D3402" w:rsidRPr="003F3976" w:rsidRDefault="007D3402" w:rsidP="007D3402">
      <w:pPr>
        <w:autoSpaceDE w:val="0"/>
        <w:autoSpaceDN w:val="0"/>
        <w:adjustRightInd w:val="0"/>
        <w:spacing w:after="0" w:line="240" w:lineRule="auto"/>
        <w:rPr>
          <w:rFonts w:cs="Times New Roman"/>
        </w:rPr>
      </w:pPr>
      <w:proofErr w:type="gramStart"/>
      <w:r w:rsidRPr="003F3976">
        <w:rPr>
          <w:rFonts w:cs="Times New Roman"/>
        </w:rPr>
        <w:t>Parry, M. L. and Carter, T. R., 1989.</w:t>
      </w:r>
      <w:proofErr w:type="gramEnd"/>
      <w:r w:rsidRPr="003F3976">
        <w:rPr>
          <w:rFonts w:cs="Times New Roman"/>
        </w:rPr>
        <w:t xml:space="preserve">  </w:t>
      </w:r>
      <w:proofErr w:type="gramStart"/>
      <w:r w:rsidRPr="003F3976">
        <w:rPr>
          <w:rFonts w:cs="Times New Roman"/>
        </w:rPr>
        <w:t xml:space="preserve">An assessment of the effects of climatic-change on agriculture, </w:t>
      </w:r>
      <w:proofErr w:type="spellStart"/>
      <w:r w:rsidRPr="003F3976">
        <w:rPr>
          <w:rFonts w:cs="Times New Roman"/>
        </w:rPr>
        <w:t>Clim</w:t>
      </w:r>
      <w:proofErr w:type="spellEnd"/>
      <w:r w:rsidRPr="003F3976">
        <w:rPr>
          <w:rFonts w:cs="Times New Roman"/>
        </w:rPr>
        <w:t>.</w:t>
      </w:r>
      <w:proofErr w:type="gramEnd"/>
      <w:r w:rsidRPr="003F3976">
        <w:rPr>
          <w:rFonts w:cs="Times New Roman"/>
        </w:rPr>
        <w:t xml:space="preserve"> Change, 15, 95–116. </w:t>
      </w:r>
    </w:p>
    <w:p w:rsidR="00A330D3" w:rsidRPr="003F3976" w:rsidRDefault="00A330D3" w:rsidP="00A330D3">
      <w:pPr>
        <w:spacing w:after="0" w:line="240" w:lineRule="auto"/>
        <w:rPr>
          <w:rFonts w:eastAsia="Times New Roman" w:cs="Times New Roman"/>
          <w:lang w:eastAsia="en-AU"/>
        </w:rPr>
      </w:pPr>
    </w:p>
    <w:p w:rsidR="00A330D3" w:rsidRPr="00A330D3" w:rsidRDefault="00A330D3" w:rsidP="00A330D3">
      <w:pPr>
        <w:spacing w:after="0" w:line="240" w:lineRule="auto"/>
        <w:rPr>
          <w:rFonts w:eastAsia="Times New Roman" w:cs="Times New Roman"/>
          <w:lang w:eastAsia="en-AU"/>
        </w:rPr>
      </w:pPr>
      <w:proofErr w:type="spellStart"/>
      <w:r w:rsidRPr="00A330D3">
        <w:rPr>
          <w:rFonts w:eastAsia="Times New Roman" w:cs="Times New Roman"/>
          <w:lang w:eastAsia="en-AU"/>
        </w:rPr>
        <w:t>Ramírez</w:t>
      </w:r>
      <w:proofErr w:type="spellEnd"/>
      <w:r w:rsidRPr="00A330D3">
        <w:rPr>
          <w:rFonts w:eastAsia="Times New Roman" w:cs="Times New Roman"/>
          <w:lang w:eastAsia="en-AU"/>
        </w:rPr>
        <w:t xml:space="preserve">-Villegas J, Lau C, </w:t>
      </w:r>
      <w:proofErr w:type="spellStart"/>
      <w:r w:rsidRPr="00A330D3">
        <w:rPr>
          <w:rFonts w:eastAsia="Times New Roman" w:cs="Times New Roman"/>
          <w:lang w:eastAsia="en-AU"/>
        </w:rPr>
        <w:t>Köhler</w:t>
      </w:r>
      <w:proofErr w:type="spellEnd"/>
      <w:r w:rsidRPr="00A330D3">
        <w:rPr>
          <w:rFonts w:eastAsia="Times New Roman" w:cs="Times New Roman"/>
          <w:lang w:eastAsia="en-AU"/>
        </w:rPr>
        <w:t xml:space="preserve"> A-K, Signer J, Jarvis A, </w:t>
      </w:r>
      <w:proofErr w:type="spellStart"/>
      <w:r w:rsidRPr="00A330D3">
        <w:rPr>
          <w:rFonts w:eastAsia="Times New Roman" w:cs="Times New Roman"/>
          <w:lang w:eastAsia="en-AU"/>
        </w:rPr>
        <w:t>Arnell</w:t>
      </w:r>
      <w:proofErr w:type="spellEnd"/>
      <w:r w:rsidRPr="00A330D3">
        <w:rPr>
          <w:rFonts w:eastAsia="Times New Roman" w:cs="Times New Roman"/>
          <w:lang w:eastAsia="en-AU"/>
        </w:rPr>
        <w:t xml:space="preserve"> N, Osborne T, Hooker J. 2011. Climate </w:t>
      </w:r>
    </w:p>
    <w:p w:rsidR="00A330D3" w:rsidRPr="00A330D3" w:rsidRDefault="00A330D3" w:rsidP="00A330D3">
      <w:pPr>
        <w:spacing w:after="0" w:line="240" w:lineRule="auto"/>
        <w:rPr>
          <w:rFonts w:eastAsia="Times New Roman" w:cs="Times New Roman"/>
          <w:lang w:eastAsia="en-AU"/>
        </w:rPr>
      </w:pPr>
      <w:proofErr w:type="gramStart"/>
      <w:r w:rsidRPr="00A330D3">
        <w:rPr>
          <w:rFonts w:eastAsia="Times New Roman" w:cs="Times New Roman"/>
          <w:lang w:eastAsia="en-AU"/>
        </w:rPr>
        <w:t>analogues</w:t>
      </w:r>
      <w:proofErr w:type="gramEnd"/>
      <w:r w:rsidRPr="00A330D3">
        <w:rPr>
          <w:rFonts w:eastAsia="Times New Roman" w:cs="Times New Roman"/>
          <w:lang w:eastAsia="en-AU"/>
        </w:rPr>
        <w:t xml:space="preserve">: finding tomorrow’s agriculture today. </w:t>
      </w:r>
      <w:proofErr w:type="gramStart"/>
      <w:r w:rsidRPr="00A330D3">
        <w:rPr>
          <w:rFonts w:eastAsia="Times New Roman" w:cs="Times New Roman"/>
          <w:lang w:eastAsia="en-AU"/>
        </w:rPr>
        <w:t>Working Paper no. 12.</w:t>
      </w:r>
      <w:proofErr w:type="gramEnd"/>
      <w:r w:rsidRPr="00A330D3">
        <w:rPr>
          <w:rFonts w:eastAsia="Times New Roman" w:cs="Times New Roman"/>
          <w:lang w:eastAsia="en-AU"/>
        </w:rPr>
        <w:t xml:space="preserve"> Cali, Colombia: CGIAR </w:t>
      </w:r>
    </w:p>
    <w:p w:rsidR="00A330D3" w:rsidRPr="00A330D3" w:rsidRDefault="00A330D3" w:rsidP="00A330D3">
      <w:pPr>
        <w:spacing w:after="0" w:line="240" w:lineRule="auto"/>
        <w:rPr>
          <w:rFonts w:eastAsia="Times New Roman" w:cs="Times New Roman"/>
          <w:lang w:eastAsia="en-AU"/>
        </w:rPr>
      </w:pPr>
      <w:proofErr w:type="gramStart"/>
      <w:r w:rsidRPr="00A330D3">
        <w:rPr>
          <w:rFonts w:eastAsia="Times New Roman" w:cs="Times New Roman"/>
          <w:lang w:eastAsia="en-AU"/>
        </w:rPr>
        <w:t>Research Program on Climate Change, Agriculture and Food Security (CCAFS).</w:t>
      </w:r>
      <w:proofErr w:type="gramEnd"/>
      <w:r w:rsidRPr="00A330D3">
        <w:rPr>
          <w:rFonts w:eastAsia="Times New Roman" w:cs="Times New Roman"/>
          <w:lang w:eastAsia="en-AU"/>
        </w:rPr>
        <w:t xml:space="preserve"> Available online at: </w:t>
      </w:r>
    </w:p>
    <w:p w:rsidR="00A330D3" w:rsidRPr="00A330D3" w:rsidRDefault="00A330D3" w:rsidP="00A330D3">
      <w:pPr>
        <w:spacing w:after="0" w:line="240" w:lineRule="auto"/>
        <w:rPr>
          <w:rFonts w:eastAsia="Times New Roman" w:cs="Times New Roman"/>
          <w:lang w:eastAsia="en-AU"/>
        </w:rPr>
      </w:pPr>
      <w:r w:rsidRPr="00A330D3">
        <w:rPr>
          <w:rFonts w:eastAsia="Times New Roman" w:cs="Times New Roman"/>
          <w:lang w:eastAsia="en-AU"/>
        </w:rPr>
        <w:t>www.ccafs.cgiar.org</w:t>
      </w:r>
    </w:p>
    <w:p w:rsidR="00A330D3" w:rsidRPr="00A330D3" w:rsidRDefault="00A330D3" w:rsidP="00A330D3">
      <w:pPr>
        <w:spacing w:after="0" w:line="240" w:lineRule="auto"/>
        <w:rPr>
          <w:rFonts w:ascii="Times New Roman" w:eastAsia="Times New Roman" w:hAnsi="Times New Roman" w:cs="Times New Roman"/>
          <w:sz w:val="20"/>
          <w:szCs w:val="20"/>
          <w:lang w:eastAsia="en-AU"/>
        </w:rPr>
      </w:pPr>
    </w:p>
    <w:p w:rsidR="00377EBB" w:rsidRDefault="00377EBB"/>
    <w:sectPr w:rsidR="00377EBB" w:rsidSect="00B75A0A">
      <w:pgSz w:w="11906" w:h="16838"/>
      <w:pgMar w:top="141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TSY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6507C"/>
    <w:multiLevelType w:val="hybridMultilevel"/>
    <w:tmpl w:val="623E7EC6"/>
    <w:lvl w:ilvl="0" w:tplc="0C090001">
      <w:start w:val="14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4B06069"/>
    <w:multiLevelType w:val="hybridMultilevel"/>
    <w:tmpl w:val="32985D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FC922A8"/>
    <w:multiLevelType w:val="hybridMultilevel"/>
    <w:tmpl w:val="6C00BD6C"/>
    <w:lvl w:ilvl="0" w:tplc="2494AA30">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5832353A"/>
    <w:multiLevelType w:val="hybridMultilevel"/>
    <w:tmpl w:val="C36C8B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913144F"/>
    <w:multiLevelType w:val="hybridMultilevel"/>
    <w:tmpl w:val="315845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E33"/>
    <w:rsid w:val="00002D01"/>
    <w:rsid w:val="000030A1"/>
    <w:rsid w:val="0001753C"/>
    <w:rsid w:val="000176D9"/>
    <w:rsid w:val="0002048D"/>
    <w:rsid w:val="00037343"/>
    <w:rsid w:val="00062849"/>
    <w:rsid w:val="000717E4"/>
    <w:rsid w:val="000A74BE"/>
    <w:rsid w:val="000D1543"/>
    <w:rsid w:val="00100163"/>
    <w:rsid w:val="00105A0F"/>
    <w:rsid w:val="00107872"/>
    <w:rsid w:val="00115E2E"/>
    <w:rsid w:val="00116EFF"/>
    <w:rsid w:val="0014351F"/>
    <w:rsid w:val="001502E9"/>
    <w:rsid w:val="00154E87"/>
    <w:rsid w:val="00170C74"/>
    <w:rsid w:val="001868E7"/>
    <w:rsid w:val="00190229"/>
    <w:rsid w:val="00197B8D"/>
    <w:rsid w:val="001B1B0B"/>
    <w:rsid w:val="001C0239"/>
    <w:rsid w:val="001C34D4"/>
    <w:rsid w:val="001C7925"/>
    <w:rsid w:val="001D1152"/>
    <w:rsid w:val="001E49D3"/>
    <w:rsid w:val="002136A4"/>
    <w:rsid w:val="0021495D"/>
    <w:rsid w:val="0022101B"/>
    <w:rsid w:val="00241856"/>
    <w:rsid w:val="00246263"/>
    <w:rsid w:val="002574EC"/>
    <w:rsid w:val="00266BA4"/>
    <w:rsid w:val="00282057"/>
    <w:rsid w:val="00282341"/>
    <w:rsid w:val="002A3200"/>
    <w:rsid w:val="002A5B15"/>
    <w:rsid w:val="002B71A6"/>
    <w:rsid w:val="002C363D"/>
    <w:rsid w:val="002D03DE"/>
    <w:rsid w:val="002D1533"/>
    <w:rsid w:val="002D4CB1"/>
    <w:rsid w:val="002E7C3D"/>
    <w:rsid w:val="00302332"/>
    <w:rsid w:val="00320E9B"/>
    <w:rsid w:val="00330042"/>
    <w:rsid w:val="00336E1E"/>
    <w:rsid w:val="0035415A"/>
    <w:rsid w:val="0035782A"/>
    <w:rsid w:val="00363496"/>
    <w:rsid w:val="00367432"/>
    <w:rsid w:val="003674E4"/>
    <w:rsid w:val="00377EBB"/>
    <w:rsid w:val="00382977"/>
    <w:rsid w:val="003966C9"/>
    <w:rsid w:val="003B4375"/>
    <w:rsid w:val="003B50D5"/>
    <w:rsid w:val="003C06F3"/>
    <w:rsid w:val="003C3FBF"/>
    <w:rsid w:val="003D7AF3"/>
    <w:rsid w:val="003F3976"/>
    <w:rsid w:val="00402DD6"/>
    <w:rsid w:val="00412068"/>
    <w:rsid w:val="00415D9E"/>
    <w:rsid w:val="00421C84"/>
    <w:rsid w:val="00427D20"/>
    <w:rsid w:val="004472FA"/>
    <w:rsid w:val="00455775"/>
    <w:rsid w:val="004777EA"/>
    <w:rsid w:val="00483248"/>
    <w:rsid w:val="0049260C"/>
    <w:rsid w:val="004D3D10"/>
    <w:rsid w:val="0050366B"/>
    <w:rsid w:val="00506278"/>
    <w:rsid w:val="00512F7C"/>
    <w:rsid w:val="00523792"/>
    <w:rsid w:val="00524C09"/>
    <w:rsid w:val="00531067"/>
    <w:rsid w:val="00541672"/>
    <w:rsid w:val="0054591B"/>
    <w:rsid w:val="00562DC5"/>
    <w:rsid w:val="00563C58"/>
    <w:rsid w:val="00594D32"/>
    <w:rsid w:val="005A1365"/>
    <w:rsid w:val="005A3D50"/>
    <w:rsid w:val="005A7E4C"/>
    <w:rsid w:val="005F01A2"/>
    <w:rsid w:val="0060723D"/>
    <w:rsid w:val="00621383"/>
    <w:rsid w:val="00633A71"/>
    <w:rsid w:val="00650406"/>
    <w:rsid w:val="006574A9"/>
    <w:rsid w:val="00667F5A"/>
    <w:rsid w:val="00674AB2"/>
    <w:rsid w:val="006753FD"/>
    <w:rsid w:val="00677B3B"/>
    <w:rsid w:val="00681447"/>
    <w:rsid w:val="00690C54"/>
    <w:rsid w:val="0069475C"/>
    <w:rsid w:val="006A08DC"/>
    <w:rsid w:val="006A7B76"/>
    <w:rsid w:val="006B11E1"/>
    <w:rsid w:val="006C354E"/>
    <w:rsid w:val="006F5E5A"/>
    <w:rsid w:val="007050E1"/>
    <w:rsid w:val="007056D1"/>
    <w:rsid w:val="00743EC8"/>
    <w:rsid w:val="007548C7"/>
    <w:rsid w:val="00757B6C"/>
    <w:rsid w:val="007766B0"/>
    <w:rsid w:val="00782C85"/>
    <w:rsid w:val="00784D2B"/>
    <w:rsid w:val="007B639B"/>
    <w:rsid w:val="007C13F1"/>
    <w:rsid w:val="007C219B"/>
    <w:rsid w:val="007C2611"/>
    <w:rsid w:val="007C5FBF"/>
    <w:rsid w:val="007D0749"/>
    <w:rsid w:val="007D3402"/>
    <w:rsid w:val="007F0EC2"/>
    <w:rsid w:val="007F71A0"/>
    <w:rsid w:val="00800E91"/>
    <w:rsid w:val="008155CA"/>
    <w:rsid w:val="00824A95"/>
    <w:rsid w:val="00832F62"/>
    <w:rsid w:val="00850472"/>
    <w:rsid w:val="00862426"/>
    <w:rsid w:val="0089387B"/>
    <w:rsid w:val="00896E8C"/>
    <w:rsid w:val="008A424E"/>
    <w:rsid w:val="008B0A51"/>
    <w:rsid w:val="008B2897"/>
    <w:rsid w:val="008D29F8"/>
    <w:rsid w:val="008D75CA"/>
    <w:rsid w:val="008E7489"/>
    <w:rsid w:val="008F1440"/>
    <w:rsid w:val="008F3CF8"/>
    <w:rsid w:val="00917C5D"/>
    <w:rsid w:val="00931E65"/>
    <w:rsid w:val="00943AB7"/>
    <w:rsid w:val="0096109D"/>
    <w:rsid w:val="009707C3"/>
    <w:rsid w:val="00976104"/>
    <w:rsid w:val="009762F0"/>
    <w:rsid w:val="009B0015"/>
    <w:rsid w:val="009F39C1"/>
    <w:rsid w:val="00A153C6"/>
    <w:rsid w:val="00A330D3"/>
    <w:rsid w:val="00A33410"/>
    <w:rsid w:val="00A54A2B"/>
    <w:rsid w:val="00A624B9"/>
    <w:rsid w:val="00A7745D"/>
    <w:rsid w:val="00A77BCC"/>
    <w:rsid w:val="00A826A0"/>
    <w:rsid w:val="00A82EE8"/>
    <w:rsid w:val="00A86A1F"/>
    <w:rsid w:val="00A93B0A"/>
    <w:rsid w:val="00A978AC"/>
    <w:rsid w:val="00AA1E33"/>
    <w:rsid w:val="00AA60E8"/>
    <w:rsid w:val="00AB228B"/>
    <w:rsid w:val="00AB2D89"/>
    <w:rsid w:val="00AC2E22"/>
    <w:rsid w:val="00AC7815"/>
    <w:rsid w:val="00AC7DEF"/>
    <w:rsid w:val="00AD14C1"/>
    <w:rsid w:val="00AE740F"/>
    <w:rsid w:val="00B22D61"/>
    <w:rsid w:val="00B24AA7"/>
    <w:rsid w:val="00B26A7F"/>
    <w:rsid w:val="00B56815"/>
    <w:rsid w:val="00B66681"/>
    <w:rsid w:val="00B75A0A"/>
    <w:rsid w:val="00BA795C"/>
    <w:rsid w:val="00BB43DC"/>
    <w:rsid w:val="00BB5331"/>
    <w:rsid w:val="00BE523A"/>
    <w:rsid w:val="00BF5587"/>
    <w:rsid w:val="00C20AD8"/>
    <w:rsid w:val="00C2383F"/>
    <w:rsid w:val="00C266D1"/>
    <w:rsid w:val="00C2743E"/>
    <w:rsid w:val="00C529BB"/>
    <w:rsid w:val="00C56620"/>
    <w:rsid w:val="00C609BB"/>
    <w:rsid w:val="00C7028E"/>
    <w:rsid w:val="00C90E4A"/>
    <w:rsid w:val="00C959D1"/>
    <w:rsid w:val="00CA03D2"/>
    <w:rsid w:val="00CB2F9C"/>
    <w:rsid w:val="00CC100E"/>
    <w:rsid w:val="00CD360A"/>
    <w:rsid w:val="00CD5A2E"/>
    <w:rsid w:val="00CE4377"/>
    <w:rsid w:val="00CE5EBD"/>
    <w:rsid w:val="00CE77DD"/>
    <w:rsid w:val="00CF6624"/>
    <w:rsid w:val="00D03777"/>
    <w:rsid w:val="00D20EF0"/>
    <w:rsid w:val="00D32340"/>
    <w:rsid w:val="00D33446"/>
    <w:rsid w:val="00D628BF"/>
    <w:rsid w:val="00D662B1"/>
    <w:rsid w:val="00D87031"/>
    <w:rsid w:val="00DA022B"/>
    <w:rsid w:val="00DA5295"/>
    <w:rsid w:val="00DA6419"/>
    <w:rsid w:val="00DB4D85"/>
    <w:rsid w:val="00DE19C4"/>
    <w:rsid w:val="00DE5FD6"/>
    <w:rsid w:val="00E24E9E"/>
    <w:rsid w:val="00E30D10"/>
    <w:rsid w:val="00E7151A"/>
    <w:rsid w:val="00EA5D76"/>
    <w:rsid w:val="00EC2E11"/>
    <w:rsid w:val="00ED3243"/>
    <w:rsid w:val="00EE3BF8"/>
    <w:rsid w:val="00F16EB1"/>
    <w:rsid w:val="00F1786B"/>
    <w:rsid w:val="00F43D1F"/>
    <w:rsid w:val="00F745D0"/>
    <w:rsid w:val="00F74681"/>
    <w:rsid w:val="00F85860"/>
    <w:rsid w:val="00F97CB1"/>
    <w:rsid w:val="00FA2E86"/>
    <w:rsid w:val="00FA34B1"/>
    <w:rsid w:val="00FD6EE1"/>
    <w:rsid w:val="00FF7B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8AC"/>
  </w:style>
  <w:style w:type="paragraph" w:styleId="Heading3">
    <w:name w:val="heading 3"/>
    <w:basedOn w:val="Normal"/>
    <w:link w:val="Heading3Char"/>
    <w:uiPriority w:val="9"/>
    <w:qFormat/>
    <w:rsid w:val="0049260C"/>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A1E33"/>
    <w:rPr>
      <w:b/>
      <w:bCs/>
    </w:rPr>
  </w:style>
  <w:style w:type="paragraph" w:styleId="ListParagraph">
    <w:name w:val="List Paragraph"/>
    <w:basedOn w:val="Normal"/>
    <w:uiPriority w:val="34"/>
    <w:qFormat/>
    <w:rsid w:val="00320E9B"/>
    <w:pPr>
      <w:ind w:left="720"/>
      <w:contextualSpacing/>
    </w:pPr>
  </w:style>
  <w:style w:type="paragraph" w:styleId="BalloonText">
    <w:name w:val="Balloon Text"/>
    <w:basedOn w:val="Normal"/>
    <w:link w:val="BalloonTextChar"/>
    <w:uiPriority w:val="99"/>
    <w:semiHidden/>
    <w:unhideWhenUsed/>
    <w:rsid w:val="00421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C84"/>
    <w:rPr>
      <w:rFonts w:ascii="Tahoma" w:hAnsi="Tahoma" w:cs="Tahoma"/>
      <w:sz w:val="16"/>
      <w:szCs w:val="16"/>
    </w:rPr>
  </w:style>
  <w:style w:type="paragraph" w:styleId="Caption">
    <w:name w:val="caption"/>
    <w:basedOn w:val="Normal"/>
    <w:next w:val="Normal"/>
    <w:uiPriority w:val="35"/>
    <w:unhideWhenUsed/>
    <w:qFormat/>
    <w:rsid w:val="00CE5EBD"/>
    <w:pPr>
      <w:spacing w:line="240" w:lineRule="auto"/>
    </w:pPr>
    <w:rPr>
      <w:b/>
      <w:bCs/>
      <w:color w:val="4F81BD" w:themeColor="accent1"/>
      <w:sz w:val="18"/>
      <w:szCs w:val="18"/>
    </w:rPr>
  </w:style>
  <w:style w:type="character" w:styleId="PlaceholderText">
    <w:name w:val="Placeholder Text"/>
    <w:basedOn w:val="DefaultParagraphFont"/>
    <w:uiPriority w:val="99"/>
    <w:semiHidden/>
    <w:rsid w:val="00917C5D"/>
    <w:rPr>
      <w:color w:val="808080"/>
    </w:rPr>
  </w:style>
  <w:style w:type="character" w:styleId="Hyperlink">
    <w:name w:val="Hyperlink"/>
    <w:basedOn w:val="DefaultParagraphFont"/>
    <w:uiPriority w:val="99"/>
    <w:unhideWhenUsed/>
    <w:rsid w:val="00CD5A2E"/>
    <w:rPr>
      <w:color w:val="0000FF" w:themeColor="hyperlink"/>
      <w:u w:val="single"/>
    </w:rPr>
  </w:style>
  <w:style w:type="character" w:customStyle="1" w:styleId="Heading3Char">
    <w:name w:val="Heading 3 Char"/>
    <w:basedOn w:val="DefaultParagraphFont"/>
    <w:link w:val="Heading3"/>
    <w:uiPriority w:val="9"/>
    <w:rsid w:val="0049260C"/>
    <w:rPr>
      <w:rFonts w:ascii="Times New Roman" w:eastAsia="Times New Roman" w:hAnsi="Times New Roman" w:cs="Times New Roman"/>
      <w:b/>
      <w:bCs/>
      <w:sz w:val="27"/>
      <w:szCs w:val="27"/>
      <w:lang w:eastAsia="en-AU"/>
    </w:rPr>
  </w:style>
  <w:style w:type="table" w:styleId="TableGrid">
    <w:name w:val="Table Grid"/>
    <w:basedOn w:val="TableNormal"/>
    <w:uiPriority w:val="59"/>
    <w:rsid w:val="004557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078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8AC"/>
  </w:style>
  <w:style w:type="paragraph" w:styleId="Heading3">
    <w:name w:val="heading 3"/>
    <w:basedOn w:val="Normal"/>
    <w:link w:val="Heading3Char"/>
    <w:uiPriority w:val="9"/>
    <w:qFormat/>
    <w:rsid w:val="0049260C"/>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A1E33"/>
    <w:rPr>
      <w:b/>
      <w:bCs/>
    </w:rPr>
  </w:style>
  <w:style w:type="paragraph" w:styleId="ListParagraph">
    <w:name w:val="List Paragraph"/>
    <w:basedOn w:val="Normal"/>
    <w:uiPriority w:val="34"/>
    <w:qFormat/>
    <w:rsid w:val="00320E9B"/>
    <w:pPr>
      <w:ind w:left="720"/>
      <w:contextualSpacing/>
    </w:pPr>
  </w:style>
  <w:style w:type="paragraph" w:styleId="BalloonText">
    <w:name w:val="Balloon Text"/>
    <w:basedOn w:val="Normal"/>
    <w:link w:val="BalloonTextChar"/>
    <w:uiPriority w:val="99"/>
    <w:semiHidden/>
    <w:unhideWhenUsed/>
    <w:rsid w:val="00421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C84"/>
    <w:rPr>
      <w:rFonts w:ascii="Tahoma" w:hAnsi="Tahoma" w:cs="Tahoma"/>
      <w:sz w:val="16"/>
      <w:szCs w:val="16"/>
    </w:rPr>
  </w:style>
  <w:style w:type="paragraph" w:styleId="Caption">
    <w:name w:val="caption"/>
    <w:basedOn w:val="Normal"/>
    <w:next w:val="Normal"/>
    <w:uiPriority w:val="35"/>
    <w:unhideWhenUsed/>
    <w:qFormat/>
    <w:rsid w:val="00CE5EBD"/>
    <w:pPr>
      <w:spacing w:line="240" w:lineRule="auto"/>
    </w:pPr>
    <w:rPr>
      <w:b/>
      <w:bCs/>
      <w:color w:val="4F81BD" w:themeColor="accent1"/>
      <w:sz w:val="18"/>
      <w:szCs w:val="18"/>
    </w:rPr>
  </w:style>
  <w:style w:type="character" w:styleId="PlaceholderText">
    <w:name w:val="Placeholder Text"/>
    <w:basedOn w:val="DefaultParagraphFont"/>
    <w:uiPriority w:val="99"/>
    <w:semiHidden/>
    <w:rsid w:val="00917C5D"/>
    <w:rPr>
      <w:color w:val="808080"/>
    </w:rPr>
  </w:style>
  <w:style w:type="character" w:styleId="Hyperlink">
    <w:name w:val="Hyperlink"/>
    <w:basedOn w:val="DefaultParagraphFont"/>
    <w:uiPriority w:val="99"/>
    <w:unhideWhenUsed/>
    <w:rsid w:val="00CD5A2E"/>
    <w:rPr>
      <w:color w:val="0000FF" w:themeColor="hyperlink"/>
      <w:u w:val="single"/>
    </w:rPr>
  </w:style>
  <w:style w:type="character" w:customStyle="1" w:styleId="Heading3Char">
    <w:name w:val="Heading 3 Char"/>
    <w:basedOn w:val="DefaultParagraphFont"/>
    <w:link w:val="Heading3"/>
    <w:uiPriority w:val="9"/>
    <w:rsid w:val="0049260C"/>
    <w:rPr>
      <w:rFonts w:ascii="Times New Roman" w:eastAsia="Times New Roman" w:hAnsi="Times New Roman" w:cs="Times New Roman"/>
      <w:b/>
      <w:bCs/>
      <w:sz w:val="27"/>
      <w:szCs w:val="27"/>
      <w:lang w:eastAsia="en-AU"/>
    </w:rPr>
  </w:style>
  <w:style w:type="table" w:styleId="TableGrid">
    <w:name w:val="Table Grid"/>
    <w:basedOn w:val="TableNormal"/>
    <w:uiPriority w:val="59"/>
    <w:rsid w:val="004557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078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478706">
      <w:bodyDiv w:val="1"/>
      <w:marLeft w:val="0"/>
      <w:marRight w:val="0"/>
      <w:marTop w:val="0"/>
      <w:marBottom w:val="0"/>
      <w:divBdr>
        <w:top w:val="none" w:sz="0" w:space="0" w:color="auto"/>
        <w:left w:val="none" w:sz="0" w:space="0" w:color="auto"/>
        <w:bottom w:val="none" w:sz="0" w:space="0" w:color="auto"/>
        <w:right w:val="none" w:sz="0" w:space="0" w:color="auto"/>
      </w:divBdr>
    </w:div>
    <w:div w:id="1069185052">
      <w:bodyDiv w:val="1"/>
      <w:marLeft w:val="0"/>
      <w:marRight w:val="0"/>
      <w:marTop w:val="0"/>
      <w:marBottom w:val="0"/>
      <w:divBdr>
        <w:top w:val="none" w:sz="0" w:space="0" w:color="auto"/>
        <w:left w:val="none" w:sz="0" w:space="0" w:color="auto"/>
        <w:bottom w:val="none" w:sz="0" w:space="0" w:color="auto"/>
        <w:right w:val="none" w:sz="0" w:space="0" w:color="auto"/>
      </w:divBdr>
      <w:divsChild>
        <w:div w:id="1214076127">
          <w:marLeft w:val="0"/>
          <w:marRight w:val="0"/>
          <w:marTop w:val="0"/>
          <w:marBottom w:val="0"/>
          <w:divBdr>
            <w:top w:val="none" w:sz="0" w:space="0" w:color="auto"/>
            <w:left w:val="none" w:sz="0" w:space="0" w:color="auto"/>
            <w:bottom w:val="none" w:sz="0" w:space="0" w:color="auto"/>
            <w:right w:val="none" w:sz="0" w:space="0" w:color="auto"/>
          </w:divBdr>
        </w:div>
        <w:div w:id="73598819">
          <w:marLeft w:val="0"/>
          <w:marRight w:val="0"/>
          <w:marTop w:val="0"/>
          <w:marBottom w:val="0"/>
          <w:divBdr>
            <w:top w:val="none" w:sz="0" w:space="0" w:color="auto"/>
            <w:left w:val="none" w:sz="0" w:space="0" w:color="auto"/>
            <w:bottom w:val="none" w:sz="0" w:space="0" w:color="auto"/>
            <w:right w:val="none" w:sz="0" w:space="0" w:color="auto"/>
          </w:divBdr>
        </w:div>
        <w:div w:id="1879586630">
          <w:marLeft w:val="0"/>
          <w:marRight w:val="0"/>
          <w:marTop w:val="0"/>
          <w:marBottom w:val="0"/>
          <w:divBdr>
            <w:top w:val="none" w:sz="0" w:space="0" w:color="auto"/>
            <w:left w:val="none" w:sz="0" w:space="0" w:color="auto"/>
            <w:bottom w:val="none" w:sz="0" w:space="0" w:color="auto"/>
            <w:right w:val="none" w:sz="0" w:space="0" w:color="auto"/>
          </w:divBdr>
        </w:div>
        <w:div w:id="254630874">
          <w:marLeft w:val="0"/>
          <w:marRight w:val="0"/>
          <w:marTop w:val="0"/>
          <w:marBottom w:val="0"/>
          <w:divBdr>
            <w:top w:val="none" w:sz="0" w:space="0" w:color="auto"/>
            <w:left w:val="none" w:sz="0" w:space="0" w:color="auto"/>
            <w:bottom w:val="none" w:sz="0" w:space="0" w:color="auto"/>
            <w:right w:val="none" w:sz="0" w:space="0" w:color="auto"/>
          </w:divBdr>
        </w:div>
        <w:div w:id="1407265329">
          <w:marLeft w:val="0"/>
          <w:marRight w:val="0"/>
          <w:marTop w:val="0"/>
          <w:marBottom w:val="0"/>
          <w:divBdr>
            <w:top w:val="none" w:sz="0" w:space="0" w:color="auto"/>
            <w:left w:val="none" w:sz="0" w:space="0" w:color="auto"/>
            <w:bottom w:val="none" w:sz="0" w:space="0" w:color="auto"/>
            <w:right w:val="none" w:sz="0" w:space="0" w:color="auto"/>
          </w:divBdr>
        </w:div>
      </w:divsChild>
    </w:div>
    <w:div w:id="1342707667">
      <w:bodyDiv w:val="1"/>
      <w:marLeft w:val="0"/>
      <w:marRight w:val="0"/>
      <w:marTop w:val="0"/>
      <w:marBottom w:val="0"/>
      <w:divBdr>
        <w:top w:val="none" w:sz="0" w:space="0" w:color="auto"/>
        <w:left w:val="none" w:sz="0" w:space="0" w:color="auto"/>
        <w:bottom w:val="none" w:sz="0" w:space="0" w:color="auto"/>
        <w:right w:val="none" w:sz="0" w:space="0" w:color="auto"/>
      </w:divBdr>
    </w:div>
    <w:div w:id="1825120236">
      <w:bodyDiv w:val="1"/>
      <w:marLeft w:val="0"/>
      <w:marRight w:val="0"/>
      <w:marTop w:val="0"/>
      <w:marBottom w:val="0"/>
      <w:divBdr>
        <w:top w:val="none" w:sz="0" w:space="0" w:color="auto"/>
        <w:left w:val="none" w:sz="0" w:space="0" w:color="auto"/>
        <w:bottom w:val="none" w:sz="0" w:space="0" w:color="auto"/>
        <w:right w:val="none" w:sz="0" w:space="0" w:color="auto"/>
      </w:divBdr>
      <w:divsChild>
        <w:div w:id="35937824">
          <w:marLeft w:val="0"/>
          <w:marRight w:val="0"/>
          <w:marTop w:val="0"/>
          <w:marBottom w:val="0"/>
          <w:divBdr>
            <w:top w:val="none" w:sz="0" w:space="0" w:color="auto"/>
            <w:left w:val="none" w:sz="0" w:space="0" w:color="auto"/>
            <w:bottom w:val="none" w:sz="0" w:space="0" w:color="auto"/>
            <w:right w:val="none" w:sz="0" w:space="0" w:color="auto"/>
          </w:divBdr>
        </w:div>
        <w:div w:id="538051430">
          <w:marLeft w:val="0"/>
          <w:marRight w:val="0"/>
          <w:marTop w:val="0"/>
          <w:marBottom w:val="0"/>
          <w:divBdr>
            <w:top w:val="none" w:sz="0" w:space="0" w:color="auto"/>
            <w:left w:val="none" w:sz="0" w:space="0" w:color="auto"/>
            <w:bottom w:val="none" w:sz="0" w:space="0" w:color="auto"/>
            <w:right w:val="none" w:sz="0" w:space="0" w:color="auto"/>
          </w:divBdr>
        </w:div>
        <w:div w:id="1521430636">
          <w:marLeft w:val="0"/>
          <w:marRight w:val="0"/>
          <w:marTop w:val="0"/>
          <w:marBottom w:val="0"/>
          <w:divBdr>
            <w:top w:val="none" w:sz="0" w:space="0" w:color="auto"/>
            <w:left w:val="none" w:sz="0" w:space="0" w:color="auto"/>
            <w:bottom w:val="none" w:sz="0" w:space="0" w:color="auto"/>
            <w:right w:val="none" w:sz="0" w:space="0" w:color="auto"/>
          </w:divBdr>
        </w:div>
        <w:div w:id="1214999462">
          <w:marLeft w:val="0"/>
          <w:marRight w:val="0"/>
          <w:marTop w:val="0"/>
          <w:marBottom w:val="0"/>
          <w:divBdr>
            <w:top w:val="none" w:sz="0" w:space="0" w:color="auto"/>
            <w:left w:val="none" w:sz="0" w:space="0" w:color="auto"/>
            <w:bottom w:val="none" w:sz="0" w:space="0" w:color="auto"/>
            <w:right w:val="none" w:sz="0" w:space="0" w:color="auto"/>
          </w:divBdr>
        </w:div>
        <w:div w:id="1618414564">
          <w:marLeft w:val="0"/>
          <w:marRight w:val="0"/>
          <w:marTop w:val="0"/>
          <w:marBottom w:val="0"/>
          <w:divBdr>
            <w:top w:val="none" w:sz="0" w:space="0" w:color="auto"/>
            <w:left w:val="none" w:sz="0" w:space="0" w:color="auto"/>
            <w:bottom w:val="none" w:sz="0" w:space="0" w:color="auto"/>
            <w:right w:val="none" w:sz="0" w:space="0" w:color="auto"/>
          </w:divBdr>
        </w:div>
        <w:div w:id="1058625379">
          <w:marLeft w:val="0"/>
          <w:marRight w:val="0"/>
          <w:marTop w:val="0"/>
          <w:marBottom w:val="0"/>
          <w:divBdr>
            <w:top w:val="none" w:sz="0" w:space="0" w:color="auto"/>
            <w:left w:val="none" w:sz="0" w:space="0" w:color="auto"/>
            <w:bottom w:val="none" w:sz="0" w:space="0" w:color="auto"/>
            <w:right w:val="none" w:sz="0" w:space="0" w:color="auto"/>
          </w:divBdr>
        </w:div>
        <w:div w:id="220750288">
          <w:marLeft w:val="0"/>
          <w:marRight w:val="0"/>
          <w:marTop w:val="0"/>
          <w:marBottom w:val="0"/>
          <w:divBdr>
            <w:top w:val="none" w:sz="0" w:space="0" w:color="auto"/>
            <w:left w:val="none" w:sz="0" w:space="0" w:color="auto"/>
            <w:bottom w:val="none" w:sz="0" w:space="0" w:color="auto"/>
            <w:right w:val="none" w:sz="0" w:space="0" w:color="auto"/>
          </w:divBdr>
        </w:div>
        <w:div w:id="2087067973">
          <w:marLeft w:val="0"/>
          <w:marRight w:val="0"/>
          <w:marTop w:val="0"/>
          <w:marBottom w:val="0"/>
          <w:divBdr>
            <w:top w:val="none" w:sz="0" w:space="0" w:color="auto"/>
            <w:left w:val="none" w:sz="0" w:space="0" w:color="auto"/>
            <w:bottom w:val="none" w:sz="0" w:space="0" w:color="auto"/>
            <w:right w:val="none" w:sz="0" w:space="0" w:color="auto"/>
          </w:divBdr>
        </w:div>
      </w:divsChild>
    </w:div>
    <w:div w:id="2006743185">
      <w:bodyDiv w:val="1"/>
      <w:marLeft w:val="0"/>
      <w:marRight w:val="0"/>
      <w:marTop w:val="0"/>
      <w:marBottom w:val="0"/>
      <w:divBdr>
        <w:top w:val="none" w:sz="0" w:space="0" w:color="auto"/>
        <w:left w:val="none" w:sz="0" w:space="0" w:color="auto"/>
        <w:bottom w:val="none" w:sz="0" w:space="0" w:color="auto"/>
        <w:right w:val="none" w:sz="0" w:space="0" w:color="auto"/>
      </w:divBdr>
      <w:divsChild>
        <w:div w:id="1926525619">
          <w:marLeft w:val="0"/>
          <w:marRight w:val="0"/>
          <w:marTop w:val="0"/>
          <w:marBottom w:val="0"/>
          <w:divBdr>
            <w:top w:val="none" w:sz="0" w:space="0" w:color="auto"/>
            <w:left w:val="none" w:sz="0" w:space="0" w:color="auto"/>
            <w:bottom w:val="none" w:sz="0" w:space="0" w:color="auto"/>
            <w:right w:val="none" w:sz="0" w:space="0" w:color="auto"/>
          </w:divBdr>
        </w:div>
        <w:div w:id="1862086869">
          <w:marLeft w:val="0"/>
          <w:marRight w:val="0"/>
          <w:marTop w:val="0"/>
          <w:marBottom w:val="0"/>
          <w:divBdr>
            <w:top w:val="none" w:sz="0" w:space="0" w:color="auto"/>
            <w:left w:val="none" w:sz="0" w:space="0" w:color="auto"/>
            <w:bottom w:val="none" w:sz="0" w:space="0" w:color="auto"/>
            <w:right w:val="none" w:sz="0" w:space="0" w:color="auto"/>
          </w:divBdr>
        </w:div>
        <w:div w:id="1811164305">
          <w:marLeft w:val="0"/>
          <w:marRight w:val="0"/>
          <w:marTop w:val="0"/>
          <w:marBottom w:val="0"/>
          <w:divBdr>
            <w:top w:val="none" w:sz="0" w:space="0" w:color="auto"/>
            <w:left w:val="none" w:sz="0" w:space="0" w:color="auto"/>
            <w:bottom w:val="none" w:sz="0" w:space="0" w:color="auto"/>
            <w:right w:val="none" w:sz="0" w:space="0" w:color="auto"/>
          </w:divBdr>
        </w:div>
        <w:div w:id="1183326354">
          <w:marLeft w:val="0"/>
          <w:marRight w:val="0"/>
          <w:marTop w:val="0"/>
          <w:marBottom w:val="0"/>
          <w:divBdr>
            <w:top w:val="none" w:sz="0" w:space="0" w:color="auto"/>
            <w:left w:val="none" w:sz="0" w:space="0" w:color="auto"/>
            <w:bottom w:val="none" w:sz="0" w:space="0" w:color="auto"/>
            <w:right w:val="none" w:sz="0" w:space="0" w:color="auto"/>
          </w:divBdr>
        </w:div>
        <w:div w:id="394620212">
          <w:marLeft w:val="0"/>
          <w:marRight w:val="0"/>
          <w:marTop w:val="0"/>
          <w:marBottom w:val="0"/>
          <w:divBdr>
            <w:top w:val="none" w:sz="0" w:space="0" w:color="auto"/>
            <w:left w:val="none" w:sz="0" w:space="0" w:color="auto"/>
            <w:bottom w:val="none" w:sz="0" w:space="0" w:color="auto"/>
            <w:right w:val="none" w:sz="0" w:space="0" w:color="auto"/>
          </w:divBdr>
        </w:div>
        <w:div w:id="226720425">
          <w:marLeft w:val="0"/>
          <w:marRight w:val="0"/>
          <w:marTop w:val="0"/>
          <w:marBottom w:val="0"/>
          <w:divBdr>
            <w:top w:val="none" w:sz="0" w:space="0" w:color="auto"/>
            <w:left w:val="none" w:sz="0" w:space="0" w:color="auto"/>
            <w:bottom w:val="none" w:sz="0" w:space="0" w:color="auto"/>
            <w:right w:val="none" w:sz="0" w:space="0" w:color="auto"/>
          </w:divBdr>
        </w:div>
        <w:div w:id="1676299713">
          <w:marLeft w:val="0"/>
          <w:marRight w:val="0"/>
          <w:marTop w:val="0"/>
          <w:marBottom w:val="0"/>
          <w:divBdr>
            <w:top w:val="none" w:sz="0" w:space="0" w:color="auto"/>
            <w:left w:val="none" w:sz="0" w:space="0" w:color="auto"/>
            <w:bottom w:val="none" w:sz="0" w:space="0" w:color="auto"/>
            <w:right w:val="none" w:sz="0" w:space="0" w:color="auto"/>
          </w:divBdr>
        </w:div>
        <w:div w:id="182981771">
          <w:marLeft w:val="0"/>
          <w:marRight w:val="0"/>
          <w:marTop w:val="0"/>
          <w:marBottom w:val="0"/>
          <w:divBdr>
            <w:top w:val="none" w:sz="0" w:space="0" w:color="auto"/>
            <w:left w:val="none" w:sz="0" w:space="0" w:color="auto"/>
            <w:bottom w:val="none" w:sz="0" w:space="0" w:color="auto"/>
            <w:right w:val="none" w:sz="0" w:space="0" w:color="auto"/>
          </w:divBdr>
        </w:div>
        <w:div w:id="469978222">
          <w:marLeft w:val="0"/>
          <w:marRight w:val="0"/>
          <w:marTop w:val="0"/>
          <w:marBottom w:val="0"/>
          <w:divBdr>
            <w:top w:val="none" w:sz="0" w:space="0" w:color="auto"/>
            <w:left w:val="none" w:sz="0" w:space="0" w:color="auto"/>
            <w:bottom w:val="none" w:sz="0" w:space="0" w:color="auto"/>
            <w:right w:val="none" w:sz="0" w:space="0" w:color="auto"/>
          </w:divBdr>
        </w:div>
        <w:div w:id="718629333">
          <w:marLeft w:val="0"/>
          <w:marRight w:val="0"/>
          <w:marTop w:val="0"/>
          <w:marBottom w:val="0"/>
          <w:divBdr>
            <w:top w:val="none" w:sz="0" w:space="0" w:color="auto"/>
            <w:left w:val="none" w:sz="0" w:space="0" w:color="auto"/>
            <w:bottom w:val="none" w:sz="0" w:space="0" w:color="auto"/>
            <w:right w:val="none" w:sz="0" w:space="0" w:color="auto"/>
          </w:divBdr>
        </w:div>
        <w:div w:id="708838604">
          <w:marLeft w:val="0"/>
          <w:marRight w:val="0"/>
          <w:marTop w:val="0"/>
          <w:marBottom w:val="0"/>
          <w:divBdr>
            <w:top w:val="none" w:sz="0" w:space="0" w:color="auto"/>
            <w:left w:val="none" w:sz="0" w:space="0" w:color="auto"/>
            <w:bottom w:val="none" w:sz="0" w:space="0" w:color="auto"/>
            <w:right w:val="none" w:sz="0" w:space="0" w:color="auto"/>
          </w:divBdr>
        </w:div>
        <w:div w:id="232132645">
          <w:marLeft w:val="0"/>
          <w:marRight w:val="0"/>
          <w:marTop w:val="0"/>
          <w:marBottom w:val="0"/>
          <w:divBdr>
            <w:top w:val="none" w:sz="0" w:space="0" w:color="auto"/>
            <w:left w:val="none" w:sz="0" w:space="0" w:color="auto"/>
            <w:bottom w:val="none" w:sz="0" w:space="0" w:color="auto"/>
            <w:right w:val="none" w:sz="0" w:space="0" w:color="auto"/>
          </w:divBdr>
        </w:div>
        <w:div w:id="1557617898">
          <w:marLeft w:val="0"/>
          <w:marRight w:val="0"/>
          <w:marTop w:val="0"/>
          <w:marBottom w:val="0"/>
          <w:divBdr>
            <w:top w:val="none" w:sz="0" w:space="0" w:color="auto"/>
            <w:left w:val="none" w:sz="0" w:space="0" w:color="auto"/>
            <w:bottom w:val="none" w:sz="0" w:space="0" w:color="auto"/>
            <w:right w:val="none" w:sz="0" w:space="0" w:color="auto"/>
          </w:divBdr>
        </w:div>
        <w:div w:id="249388661">
          <w:marLeft w:val="0"/>
          <w:marRight w:val="0"/>
          <w:marTop w:val="0"/>
          <w:marBottom w:val="0"/>
          <w:divBdr>
            <w:top w:val="none" w:sz="0" w:space="0" w:color="auto"/>
            <w:left w:val="none" w:sz="0" w:space="0" w:color="auto"/>
            <w:bottom w:val="none" w:sz="0" w:space="0" w:color="auto"/>
            <w:right w:val="none" w:sz="0" w:space="0" w:color="auto"/>
          </w:divBdr>
        </w:div>
        <w:div w:id="1588267724">
          <w:marLeft w:val="0"/>
          <w:marRight w:val="0"/>
          <w:marTop w:val="0"/>
          <w:marBottom w:val="0"/>
          <w:divBdr>
            <w:top w:val="none" w:sz="0" w:space="0" w:color="auto"/>
            <w:left w:val="none" w:sz="0" w:space="0" w:color="auto"/>
            <w:bottom w:val="none" w:sz="0" w:space="0" w:color="auto"/>
            <w:right w:val="none" w:sz="0" w:space="0" w:color="auto"/>
          </w:divBdr>
        </w:div>
        <w:div w:id="755631267">
          <w:marLeft w:val="0"/>
          <w:marRight w:val="0"/>
          <w:marTop w:val="0"/>
          <w:marBottom w:val="0"/>
          <w:divBdr>
            <w:top w:val="none" w:sz="0" w:space="0" w:color="auto"/>
            <w:left w:val="none" w:sz="0" w:space="0" w:color="auto"/>
            <w:bottom w:val="none" w:sz="0" w:space="0" w:color="auto"/>
            <w:right w:val="none" w:sz="0" w:space="0" w:color="auto"/>
          </w:divBdr>
        </w:div>
        <w:div w:id="1791440266">
          <w:marLeft w:val="0"/>
          <w:marRight w:val="0"/>
          <w:marTop w:val="0"/>
          <w:marBottom w:val="0"/>
          <w:divBdr>
            <w:top w:val="none" w:sz="0" w:space="0" w:color="auto"/>
            <w:left w:val="none" w:sz="0" w:space="0" w:color="auto"/>
            <w:bottom w:val="none" w:sz="0" w:space="0" w:color="auto"/>
            <w:right w:val="none" w:sz="0" w:space="0" w:color="auto"/>
          </w:divBdr>
        </w:div>
        <w:div w:id="2067795298">
          <w:marLeft w:val="0"/>
          <w:marRight w:val="0"/>
          <w:marTop w:val="0"/>
          <w:marBottom w:val="0"/>
          <w:divBdr>
            <w:top w:val="none" w:sz="0" w:space="0" w:color="auto"/>
            <w:left w:val="none" w:sz="0" w:space="0" w:color="auto"/>
            <w:bottom w:val="none" w:sz="0" w:space="0" w:color="auto"/>
            <w:right w:val="none" w:sz="0" w:space="0" w:color="auto"/>
          </w:divBdr>
        </w:div>
        <w:div w:id="1957521292">
          <w:marLeft w:val="0"/>
          <w:marRight w:val="0"/>
          <w:marTop w:val="0"/>
          <w:marBottom w:val="0"/>
          <w:divBdr>
            <w:top w:val="none" w:sz="0" w:space="0" w:color="auto"/>
            <w:left w:val="none" w:sz="0" w:space="0" w:color="auto"/>
            <w:bottom w:val="none" w:sz="0" w:space="0" w:color="auto"/>
            <w:right w:val="none" w:sz="0" w:space="0" w:color="auto"/>
          </w:divBdr>
        </w:div>
        <w:div w:id="269628649">
          <w:marLeft w:val="0"/>
          <w:marRight w:val="0"/>
          <w:marTop w:val="0"/>
          <w:marBottom w:val="0"/>
          <w:divBdr>
            <w:top w:val="none" w:sz="0" w:space="0" w:color="auto"/>
            <w:left w:val="none" w:sz="0" w:space="0" w:color="auto"/>
            <w:bottom w:val="none" w:sz="0" w:space="0" w:color="auto"/>
            <w:right w:val="none" w:sz="0" w:space="0" w:color="auto"/>
          </w:divBdr>
        </w:div>
        <w:div w:id="1435905583">
          <w:marLeft w:val="0"/>
          <w:marRight w:val="0"/>
          <w:marTop w:val="0"/>
          <w:marBottom w:val="0"/>
          <w:divBdr>
            <w:top w:val="none" w:sz="0" w:space="0" w:color="auto"/>
            <w:left w:val="none" w:sz="0" w:space="0" w:color="auto"/>
            <w:bottom w:val="none" w:sz="0" w:space="0" w:color="auto"/>
            <w:right w:val="none" w:sz="0" w:space="0" w:color="auto"/>
          </w:divBdr>
        </w:div>
        <w:div w:id="1406218769">
          <w:marLeft w:val="0"/>
          <w:marRight w:val="0"/>
          <w:marTop w:val="0"/>
          <w:marBottom w:val="0"/>
          <w:divBdr>
            <w:top w:val="none" w:sz="0" w:space="0" w:color="auto"/>
            <w:left w:val="none" w:sz="0" w:space="0" w:color="auto"/>
            <w:bottom w:val="none" w:sz="0" w:space="0" w:color="auto"/>
            <w:right w:val="none" w:sz="0" w:space="0" w:color="auto"/>
          </w:divBdr>
        </w:div>
        <w:div w:id="1009524577">
          <w:marLeft w:val="0"/>
          <w:marRight w:val="0"/>
          <w:marTop w:val="0"/>
          <w:marBottom w:val="0"/>
          <w:divBdr>
            <w:top w:val="none" w:sz="0" w:space="0" w:color="auto"/>
            <w:left w:val="none" w:sz="0" w:space="0" w:color="auto"/>
            <w:bottom w:val="none" w:sz="0" w:space="0" w:color="auto"/>
            <w:right w:val="none" w:sz="0" w:space="0" w:color="auto"/>
          </w:divBdr>
        </w:div>
        <w:div w:id="1747267587">
          <w:marLeft w:val="0"/>
          <w:marRight w:val="0"/>
          <w:marTop w:val="0"/>
          <w:marBottom w:val="0"/>
          <w:divBdr>
            <w:top w:val="none" w:sz="0" w:space="0" w:color="auto"/>
            <w:left w:val="none" w:sz="0" w:space="0" w:color="auto"/>
            <w:bottom w:val="none" w:sz="0" w:space="0" w:color="auto"/>
            <w:right w:val="none" w:sz="0" w:space="0" w:color="auto"/>
          </w:divBdr>
        </w:div>
        <w:div w:id="79565928">
          <w:marLeft w:val="0"/>
          <w:marRight w:val="0"/>
          <w:marTop w:val="0"/>
          <w:marBottom w:val="0"/>
          <w:divBdr>
            <w:top w:val="none" w:sz="0" w:space="0" w:color="auto"/>
            <w:left w:val="none" w:sz="0" w:space="0" w:color="auto"/>
            <w:bottom w:val="none" w:sz="0" w:space="0" w:color="auto"/>
            <w:right w:val="none" w:sz="0" w:space="0" w:color="auto"/>
          </w:divBdr>
        </w:div>
        <w:div w:id="1558474538">
          <w:marLeft w:val="0"/>
          <w:marRight w:val="0"/>
          <w:marTop w:val="0"/>
          <w:marBottom w:val="0"/>
          <w:divBdr>
            <w:top w:val="none" w:sz="0" w:space="0" w:color="auto"/>
            <w:left w:val="none" w:sz="0" w:space="0" w:color="auto"/>
            <w:bottom w:val="none" w:sz="0" w:space="0" w:color="auto"/>
            <w:right w:val="none" w:sz="0" w:space="0" w:color="auto"/>
          </w:divBdr>
        </w:div>
        <w:div w:id="1270894701">
          <w:marLeft w:val="0"/>
          <w:marRight w:val="0"/>
          <w:marTop w:val="0"/>
          <w:marBottom w:val="0"/>
          <w:divBdr>
            <w:top w:val="none" w:sz="0" w:space="0" w:color="auto"/>
            <w:left w:val="none" w:sz="0" w:space="0" w:color="auto"/>
            <w:bottom w:val="none" w:sz="0" w:space="0" w:color="auto"/>
            <w:right w:val="none" w:sz="0" w:space="0" w:color="auto"/>
          </w:divBdr>
        </w:div>
        <w:div w:id="1998487352">
          <w:marLeft w:val="0"/>
          <w:marRight w:val="0"/>
          <w:marTop w:val="0"/>
          <w:marBottom w:val="0"/>
          <w:divBdr>
            <w:top w:val="none" w:sz="0" w:space="0" w:color="auto"/>
            <w:left w:val="none" w:sz="0" w:space="0" w:color="auto"/>
            <w:bottom w:val="none" w:sz="0" w:space="0" w:color="auto"/>
            <w:right w:val="none" w:sz="0" w:space="0" w:color="auto"/>
          </w:divBdr>
        </w:div>
        <w:div w:id="586498761">
          <w:marLeft w:val="0"/>
          <w:marRight w:val="0"/>
          <w:marTop w:val="0"/>
          <w:marBottom w:val="0"/>
          <w:divBdr>
            <w:top w:val="none" w:sz="0" w:space="0" w:color="auto"/>
            <w:left w:val="none" w:sz="0" w:space="0" w:color="auto"/>
            <w:bottom w:val="none" w:sz="0" w:space="0" w:color="auto"/>
            <w:right w:val="none" w:sz="0" w:space="0" w:color="auto"/>
          </w:divBdr>
        </w:div>
        <w:div w:id="582182867">
          <w:marLeft w:val="0"/>
          <w:marRight w:val="0"/>
          <w:marTop w:val="0"/>
          <w:marBottom w:val="0"/>
          <w:divBdr>
            <w:top w:val="none" w:sz="0" w:space="0" w:color="auto"/>
            <w:left w:val="none" w:sz="0" w:space="0" w:color="auto"/>
            <w:bottom w:val="none" w:sz="0" w:space="0" w:color="auto"/>
            <w:right w:val="none" w:sz="0" w:space="0" w:color="auto"/>
          </w:divBdr>
        </w:div>
        <w:div w:id="815757371">
          <w:marLeft w:val="0"/>
          <w:marRight w:val="0"/>
          <w:marTop w:val="0"/>
          <w:marBottom w:val="0"/>
          <w:divBdr>
            <w:top w:val="none" w:sz="0" w:space="0" w:color="auto"/>
            <w:left w:val="none" w:sz="0" w:space="0" w:color="auto"/>
            <w:bottom w:val="none" w:sz="0" w:space="0" w:color="auto"/>
            <w:right w:val="none" w:sz="0" w:space="0" w:color="auto"/>
          </w:divBdr>
        </w:div>
        <w:div w:id="711687649">
          <w:marLeft w:val="0"/>
          <w:marRight w:val="0"/>
          <w:marTop w:val="0"/>
          <w:marBottom w:val="0"/>
          <w:divBdr>
            <w:top w:val="none" w:sz="0" w:space="0" w:color="auto"/>
            <w:left w:val="none" w:sz="0" w:space="0" w:color="auto"/>
            <w:bottom w:val="none" w:sz="0" w:space="0" w:color="auto"/>
            <w:right w:val="none" w:sz="0" w:space="0" w:color="auto"/>
          </w:divBdr>
        </w:div>
        <w:div w:id="1420636383">
          <w:marLeft w:val="0"/>
          <w:marRight w:val="0"/>
          <w:marTop w:val="0"/>
          <w:marBottom w:val="0"/>
          <w:divBdr>
            <w:top w:val="none" w:sz="0" w:space="0" w:color="auto"/>
            <w:left w:val="none" w:sz="0" w:space="0" w:color="auto"/>
            <w:bottom w:val="none" w:sz="0" w:space="0" w:color="auto"/>
            <w:right w:val="none" w:sz="0" w:space="0" w:color="auto"/>
          </w:divBdr>
        </w:div>
        <w:div w:id="2147308274">
          <w:marLeft w:val="0"/>
          <w:marRight w:val="0"/>
          <w:marTop w:val="0"/>
          <w:marBottom w:val="0"/>
          <w:divBdr>
            <w:top w:val="none" w:sz="0" w:space="0" w:color="auto"/>
            <w:left w:val="none" w:sz="0" w:space="0" w:color="auto"/>
            <w:bottom w:val="none" w:sz="0" w:space="0" w:color="auto"/>
            <w:right w:val="none" w:sz="0" w:space="0" w:color="auto"/>
          </w:divBdr>
        </w:div>
        <w:div w:id="719327718">
          <w:marLeft w:val="0"/>
          <w:marRight w:val="0"/>
          <w:marTop w:val="0"/>
          <w:marBottom w:val="0"/>
          <w:divBdr>
            <w:top w:val="none" w:sz="0" w:space="0" w:color="auto"/>
            <w:left w:val="none" w:sz="0" w:space="0" w:color="auto"/>
            <w:bottom w:val="none" w:sz="0" w:space="0" w:color="auto"/>
            <w:right w:val="none" w:sz="0" w:space="0" w:color="auto"/>
          </w:divBdr>
        </w:div>
        <w:div w:id="909578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vironment.guardian.co.uk/" TargetMode="External"/><Relationship Id="rId3" Type="http://schemas.openxmlformats.org/officeDocument/2006/relationships/styles" Target="styles.xml"/><Relationship Id="rId7" Type="http://schemas.openxmlformats.org/officeDocument/2006/relationships/hyperlink" Target="http://www.longpaddock.qld.gov.au/sil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rida.no/CLIMATE/IPCC%20TAR/WG1/" TargetMode="External"/><Relationship Id="rId4" Type="http://schemas.microsoft.com/office/2007/relationships/stylesWithEffects" Target="stylesWithEffects.xml"/><Relationship Id="rId9" Type="http://schemas.openxmlformats.org/officeDocument/2006/relationships/hyperlink" Target="http://www.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AD9E1-ABB5-4058-BEC7-1BD22370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TotalTime>
  <Pages>4</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u1048420</dc:creator>
  <cp:lastModifiedBy>u1048420</cp:lastModifiedBy>
  <cp:revision>58</cp:revision>
  <dcterms:created xsi:type="dcterms:W3CDTF">2014-03-23T22:44:00Z</dcterms:created>
  <dcterms:modified xsi:type="dcterms:W3CDTF">2014-06-03T04:01:00Z</dcterms:modified>
</cp:coreProperties>
</file>